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3DB57D2" Type="http://schemas.openxmlformats.org/officeDocument/2006/relationships/officeDocument" Target="/word/document.xml" /><Relationship Id="coreR53DB57D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60701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Environmental Exposures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Current Environmental Tobacco Smoke Exposure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Questions that ask about smoking at the respondent’s home and at work.</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Environmental tobacco smoke is linked to a variety of illnesses, including respiratory infections, cardiovascular disease, and lung cancer.</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Household Roster-Relationships [11402]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Passive Smoke Exposure [70301]</w:t>
              <w:br w:type="textWrapping"/>
              <w:t>Biomarker of exposure to nicotine-containing products - Urine [91701]</w:t>
              <w:br w:type="textWrapping"/>
              <w:t>Biomarker of exposure to nicotine-containing products - Saliva [91702]</w:t>
              <w:br w:type="textWrapping"/>
              <w:t xml:space="preserve">Biomarker of exposure to nicotine-containing products - Serum [91703]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May 31,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30,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May 31,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Current Environmental Tobacco Smoke Exposure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Family Questionnaire, 2007-2008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Environmental Exposures; National Center for Health Statistics; NCHS; Centers for Disease Control and Prevention; CDC; environmental tobacco smoke; ETS; smoke; smoking; tobacco; lung cancer; National Health and Nutrition Examination Survey; NHANES; second hand smoke; secondhand smoke; second-hand smoke; gerontology; aging; geriatrics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These questions ask about smoking at the respondents home and at work. If smoking occurs at the home, a household roster is utilized to document which person smokes and the number of cigarettes smoked per day. The respondent is also asked if he or she smells smoke at work and, if so, the number of hours per day the smoke is present.</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(At Home)</w:t>
            </w:r>
          </w:p>
          <w:p>
            <w:pPr>
              <w:spacing w:before="240" w:after="240"/>
              <w:ind w:left="0" w:right="0"/>
              <w:rPr>
                <w:rFonts w:ascii="Arial" w:hAnsi="Arial"/>
                <w:sz w:val="21"/>
              </w:rPr>
            </w:pPr>
            <w:r>
              <w:rPr>
                <w:rFonts w:ascii="Arial" w:hAnsi="Arial"/>
                <w:sz w:val="21"/>
              </w:rPr>
              <w:t>1. I would like to ask you a few questions about smoking.</w:t>
            </w:r>
          </w:p>
          <w:p>
            <w:pPr>
              <w:spacing w:before="240" w:after="240"/>
              <w:ind w:left="0" w:right="0"/>
              <w:rPr>
                <w:rFonts w:ascii="Arial" w:hAnsi="Arial"/>
                <w:sz w:val="21"/>
              </w:rPr>
            </w:pPr>
            <w:r>
              <w:rPr>
                <w:rFonts w:ascii="Arial" w:hAnsi="Arial"/>
                <w:sz w:val="21"/>
              </w:rPr>
              <w:t>Does anyone who lives here smoke cigarettes, cigars, or pipes anywhere inside this home?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(END OF SECTION)</w:t>
            </w:r>
          </w:p>
          <w:p>
            <w:pPr>
              <w:spacing w:before="240" w:after="240"/>
              <w:ind w:left="0" w:right="0"/>
              <w:rPr>
                <w:rFonts w:ascii="Arial" w:hAnsi="Arial"/>
                <w:sz w:val="21"/>
              </w:rPr>
            </w:pPr>
            <w:r>
              <w:rPr>
                <w:rFonts w:ascii="Arial" w:hAnsi="Arial"/>
                <w:sz w:val="21"/>
              </w:rPr>
              <w:t>[ ] 7 REFUSED (END OF SECTION)</w:t>
            </w:r>
          </w:p>
          <w:p>
            <w:pPr>
              <w:spacing w:before="240" w:after="240"/>
              <w:ind w:left="0" w:right="0"/>
              <w:rPr>
                <w:rFonts w:ascii="Arial" w:hAnsi="Arial"/>
                <w:sz w:val="21"/>
              </w:rPr>
            </w:pPr>
            <w:r>
              <w:rPr>
                <w:rFonts w:ascii="Arial" w:hAnsi="Arial"/>
                <w:sz w:val="21"/>
              </w:rPr>
              <w:t>[ ] 9 DON’T KNOW (END OF SECTION)</w:t>
            </w:r>
          </w:p>
          <w:p>
            <w:pPr>
              <w:spacing w:before="240" w:after="240"/>
              <w:ind w:left="0" w:right="0"/>
              <w:rPr>
                <w:rFonts w:ascii="Arial" w:hAnsi="Arial"/>
                <w:sz w:val="21"/>
              </w:rPr>
            </w:pPr>
            <w:r>
              <w:rPr>
                <w:rFonts w:ascii="Arial" w:hAnsi="Arial"/>
                <w:sz w:val="21"/>
              </w:rPr>
              <w:t>2. Who smokes?</w:t>
            </w:r>
          </w:p>
          <w:p>
            <w:pPr>
              <w:spacing w:before="240" w:after="240"/>
              <w:ind w:left="0" w:right="0"/>
              <w:rPr>
                <w:rFonts w:ascii="Arial" w:hAnsi="Arial"/>
                <w:sz w:val="21"/>
              </w:rPr>
            </w:pPr>
            <w:r>
              <w:rPr>
                <w:rFonts w:ascii="Arial" w:hAnsi="Arial"/>
                <w:sz w:val="21"/>
              </w:rPr>
              <w:t>PROBE: Anyone else?</w:t>
            </w:r>
          </w:p>
          <w:p>
            <w:pPr>
              <w:spacing w:before="240" w:after="240"/>
              <w:ind w:left="0" w:right="0"/>
              <w:rPr>
                <w:rFonts w:ascii="Arial" w:hAnsi="Arial"/>
                <w:sz w:val="21"/>
              </w:rPr>
            </w:pPr>
            <w:r>
              <w:rPr>
                <w:rFonts w:ascii="Arial" w:hAnsi="Arial"/>
                <w:sz w:val="21"/>
              </w:rPr>
              <w:t>[DISPLAY HOUSEHOLD ROSTER]</w:t>
            </w:r>
          </w:p>
          <w:p>
            <w:pPr>
              <w:spacing w:before="240" w:after="240"/>
              <w:ind w:left="0" w:right="0"/>
              <w:rPr>
                <w:rFonts w:ascii="Arial" w:hAnsi="Arial"/>
                <w:sz w:val="21"/>
              </w:rPr>
            </w:pPr>
            <w:r>
              <w:rPr>
                <w:rFonts w:ascii="Arial" w:hAnsi="Arial"/>
                <w:sz w:val="21"/>
              </w:rPr>
              <w:t>SELECT NAMES FROM HOUSEHOLD ROSTER</w:t>
            </w:r>
          </w:p>
          <w:p>
            <w:pPr>
              <w:spacing w:before="240" w:after="240"/>
              <w:ind w:left="0" w:right="0"/>
              <w:rPr>
                <w:rFonts w:ascii="Arial" w:hAnsi="Arial"/>
                <w:sz w:val="21"/>
              </w:rPr>
            </w:pPr>
            <w:r>
              <w:rPr>
                <w:rFonts w:ascii="Arial" w:hAnsi="Arial"/>
                <w:sz w:val="21"/>
              </w:rPr>
              <w:t>[ ] 1 SELECT</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ASK NEXT QUESTION FOR EACH PERSON SELECTED FROM HOUSEHOLD ROSTER AS SMOKING INSIDE THE HOME.</w:t>
            </w:r>
          </w:p>
          <w:p>
            <w:pPr>
              <w:spacing w:before="240" w:after="240"/>
              <w:ind w:left="0" w:right="0"/>
              <w:rPr>
                <w:rFonts w:ascii="Arial" w:hAnsi="Arial"/>
                <w:sz w:val="21"/>
              </w:rPr>
            </w:pPr>
            <w:r>
              <w:rPr>
                <w:rFonts w:ascii="Arial" w:hAnsi="Arial"/>
                <w:sz w:val="21"/>
              </w:rPr>
              <w:t>3. How many cigarettes per day {do you/does PERSON} usually smoke anywhere inside the home?</w:t>
            </w:r>
          </w:p>
          <w:p>
            <w:pPr>
              <w:spacing w:before="240" w:after="240"/>
              <w:ind w:left="0" w:right="0"/>
              <w:rPr>
                <w:rFonts w:ascii="Arial" w:hAnsi="Arial"/>
                <w:sz w:val="21"/>
              </w:rPr>
            </w:pPr>
            <w:r>
              <w:rPr>
                <w:rFonts w:ascii="Arial" w:hAnsi="Arial"/>
                <w:sz w:val="21"/>
              </w:rPr>
              <w:t>1 PACK EQUALS 20 CIGARETTES</w:t>
            </w:r>
          </w:p>
          <w:p>
            <w:pPr>
              <w:spacing w:before="240" w:after="240"/>
              <w:ind w:left="0" w:right="0"/>
              <w:rPr>
                <w:rFonts w:ascii="Arial" w:hAnsi="Arial"/>
                <w:sz w:val="21"/>
              </w:rPr>
            </w:pPr>
            <w:r>
              <w:rPr>
                <w:rFonts w:ascii="Arial" w:hAnsi="Arial"/>
                <w:sz w:val="21"/>
              </w:rPr>
              <w:t>IF NONE, ENTER 0</w:t>
            </w:r>
          </w:p>
          <w:p>
            <w:pPr>
              <w:spacing w:before="240" w:after="240"/>
              <w:ind w:left="0" w:right="0"/>
              <w:rPr>
                <w:rFonts w:ascii="Arial" w:hAnsi="Arial"/>
                <w:sz w:val="21"/>
              </w:rPr>
            </w:pPr>
            <w:r>
              <w:rPr>
                <w:rFonts w:ascii="Arial" w:hAnsi="Arial"/>
                <w:sz w:val="21"/>
              </w:rPr>
              <w:t>IF LESS THAN 1 PER DAY, ENTER 1</w:t>
            </w:r>
          </w:p>
          <w:p>
            <w:pPr>
              <w:spacing w:before="240" w:after="240"/>
              <w:ind w:left="0" w:right="0"/>
              <w:rPr>
                <w:rFonts w:ascii="Arial" w:hAnsi="Arial"/>
                <w:sz w:val="21"/>
              </w:rPr>
            </w:pPr>
            <w:r>
              <w:rPr>
                <w:rFonts w:ascii="Arial" w:hAnsi="Arial"/>
                <w:sz w:val="21"/>
              </w:rPr>
              <w:t>"&gt;___"&gt;___"&gt;___"&gt;</w:t>
            </w:r>
          </w:p>
          <w:p>
            <w:pPr>
              <w:spacing w:before="240" w:after="240"/>
              <w:ind w:left="0" w:right="0"/>
              <w:rPr>
                <w:rFonts w:ascii="Arial" w:hAnsi="Arial"/>
                <w:sz w:val="21"/>
              </w:rPr>
            </w:pPr>
            <w:r>
              <w:rPr>
                <w:rFonts w:ascii="Arial" w:hAnsi="Arial"/>
                <w:sz w:val="21"/>
              </w:rPr>
              <w:t>ENTER NUMBER OF CIGARETTES</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xml:space="preserve">[ ] 99999 DON’T KNOW </w:t>
            </w:r>
          </w:p>
          <w:p>
            <w:pPr>
              <w:spacing w:before="240" w:after="240"/>
              <w:ind w:left="0" w:right="0"/>
              <w:rPr>
                <w:rFonts w:ascii="Arial" w:hAnsi="Arial"/>
                <w:sz w:val="21"/>
              </w:rPr>
            </w:pPr>
            <w:r>
              <w:rPr>
                <w:rFonts w:ascii="Arial" w:hAnsi="Arial"/>
                <w:sz w:val="21"/>
              </w:rPr>
              <w:t>(At Work)</w:t>
            </w:r>
          </w:p>
          <w:p>
            <w:pPr>
              <w:spacing w:before="240" w:after="240"/>
              <w:ind w:left="0" w:right="0"/>
              <w:rPr>
                <w:rFonts w:ascii="Arial" w:hAnsi="Arial"/>
                <w:sz w:val="21"/>
              </w:rPr>
            </w:pPr>
            <w:r>
              <w:rPr>
                <w:rFonts w:ascii="Arial" w:hAnsi="Arial"/>
                <w:sz w:val="21"/>
              </w:rPr>
              <w:t>4. At this job or business, that is at {EMPLOYER} as a(n) {OCCUPATION}, how many hours per day can {you/SP} smell the smoke from other people’s cigarettes, cigars, and/or pipes?</w:t>
            </w:r>
          </w:p>
          <w:p>
            <w:pPr>
              <w:spacing w:before="240" w:after="240"/>
              <w:ind w:left="0" w:right="0"/>
              <w:rPr>
                <w:rFonts w:ascii="Arial" w:hAnsi="Arial"/>
                <w:sz w:val="21"/>
              </w:rPr>
            </w:pPr>
            <w:r>
              <w:rPr>
                <w:rFonts w:ascii="Arial" w:hAnsi="Arial"/>
                <w:sz w:val="21"/>
              </w:rPr>
              <w:t>"&gt;___"&gt;___"&gt;</w:t>
            </w:r>
          </w:p>
          <w:p>
            <w:pPr>
              <w:spacing w:before="240" w:after="240"/>
              <w:ind w:left="0" w:right="0"/>
              <w:rPr>
                <w:rFonts w:ascii="Arial" w:hAnsi="Arial"/>
                <w:sz w:val="21"/>
              </w:rPr>
            </w:pPr>
            <w:r>
              <w:rPr>
                <w:rFonts w:ascii="Arial" w:hAnsi="Arial"/>
                <w:sz w:val="21"/>
              </w:rPr>
              <w:t xml:space="preserve">ENTER NUMBER OF HOURS </w:t>
            </w:r>
          </w:p>
          <w:p>
            <w:pPr>
              <w:spacing w:before="240" w:after="240"/>
              <w:ind w:left="0" w:right="0"/>
              <w:rPr>
                <w:rFonts w:ascii="Arial" w:hAnsi="Arial"/>
                <w:sz w:val="21"/>
              </w:rPr>
            </w:pPr>
            <w:r>
              <w:rPr>
                <w:rFonts w:ascii="Arial" w:hAnsi="Arial"/>
                <w:sz w:val="21"/>
              </w:rPr>
              <w:t xml:space="preserve">[ ] 66 NEVER </w:t>
            </w:r>
          </w:p>
          <w:p>
            <w:pPr>
              <w:spacing w:before="240" w:after="240"/>
              <w:ind w:left="0" w:right="0"/>
              <w:rPr>
                <w:rFonts w:ascii="Arial" w:hAnsi="Arial"/>
                <w:sz w:val="21"/>
              </w:rPr>
            </w:pPr>
            <w:r>
              <w:rPr>
                <w:rFonts w:ascii="Arial" w:hAnsi="Arial"/>
                <w:sz w:val="21"/>
              </w:rPr>
              <w:t xml:space="preserve">[ ] 7777 REFUSED </w:t>
            </w:r>
          </w:p>
          <w:p>
            <w:pPr>
              <w:spacing w:before="240" w:after="240"/>
              <w:ind w:left="0" w:right="0"/>
              <w:rPr>
                <w:rFonts w:ascii="Arial" w:hAnsi="Arial"/>
                <w:sz w:val="21"/>
              </w:rPr>
            </w:pPr>
            <w:r>
              <w:rPr>
                <w:rFonts w:ascii="Arial" w:hAnsi="Arial"/>
                <w:sz w:val="21"/>
              </w:rPr>
              <w:t>[ ] 9999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Health and Nutrition Examination Survey (NHANES) questionnaire includes questions about environmental tobacco smoke (ETS) exposure at home and at work, locations where many people are exposed to ETS. They may be exposed to ETS in several other microenvironments such as in transit (on a bus or subway) or in a social setting (at a restaurant, bar, or friend’s home). The person’s age is an important determinant of ETS exposure, for example, individuals in their teens and twenties are more likely to frequent locations in which smoking occurs. To do a complete assessment of a person’s acute ETS exposure, a time-location-smoke exposure diary is necessary. NHANES questions were chosen because people spend more time at home or at work than elsewhere, and the questions are not burdensome.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Centers for Disease Control and Prevention, National Center for Health Statistics, National Health and Nutrition Examination Survey (NHANES), 2007–2008. Atlanta, GA: Author. Family Questionnaire, Question numbers SMQ. 410, SMQ. 420, SMQ. 430 (source for Questions 1–3 in Protocol Text); Occupation Module, Question number OCQ.290 (source for Question 4).</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Chinese</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w:t>
            </w:r>
          </w:p>
          <w:p>
            <w:pPr>
              <w:spacing w:before="240" w:after="240"/>
              <w:ind w:left="0" w:right="0"/>
              <w:rPr>
                <w:rFonts w:ascii="Arial" w:hAnsi="Arial"/>
                <w:sz w:val="21"/>
              </w:rPr>
            </w:pPr>
            <w:r>
              <w:rPr>
                <w:rFonts w:ascii="Arial" w:hAnsi="Arial"/>
                <w:sz w:val="21"/>
              </w:rPr>
              <w:t>* There are multiple modes to administer this question (e.g., paper-and-pencil and computer-assisted interviews).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While the source instrument was developed to be administered by computer, the PhenX Working Group acknowledges that these questions can be administered in a noncomputerized format (i.e., paper-and-pencil instrument). Computer software is necessary to develop computer-assisted instruments. The interviewer will require a laptop computer or 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Environ exp tobacco smoke proto</w:t>
                  </w:r>
                </w:p>
              </w:tc>
              <w:tc>
                <w:tcPr>
                  <w:tcW w:w="0" w:type="auto"/>
                  <w:vAlign w:val="center"/>
                </w:tcPr>
                <w:p>
                  <w:pPr>
                    <w:spacing w:before="240" w:after="240"/>
                    <w:ind w:left="0" w:right="0"/>
                    <w:rPr>
                      <w:rFonts w:ascii="Arial" w:hAnsi="Arial"/>
                      <w:sz w:val="21"/>
                    </w:rPr>
                  </w:pPr>
                  <w:r>
                    <w:rPr>
                      <w:rFonts w:ascii="Arial" w:hAnsi="Arial"/>
                      <w:sz w:val="21"/>
                    </w:rPr>
                    <w:t>62526-9</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Coghlin, J., Hammond, S. K., &amp; Gann, P. H. (1989). Development of epidemiologic tools for measuring environmental tobacco smoke exposure. </w:t>
            </w:r>
            <w:r>
              <w:rPr>
                <w:rFonts w:ascii="Arial" w:hAnsi="Arial"/>
                <w:i w:val="1"/>
                <w:sz w:val="21"/>
              </w:rPr>
              <w:t>American Journal of Epidemiology</w:t>
            </w:r>
            <w:r>
              <w:rPr>
                <w:rFonts w:ascii="Arial" w:hAnsi="Arial"/>
                <w:sz w:val="21"/>
              </w:rPr>
              <w:t xml:space="preserve">, </w:t>
            </w:r>
            <w:r>
              <w:rPr>
                <w:rFonts w:ascii="Arial" w:hAnsi="Arial"/>
                <w:i w:val="1"/>
                <w:sz w:val="21"/>
              </w:rPr>
              <w:t>130</w:t>
            </w:r>
            <w:r>
              <w:rPr>
                <w:rFonts w:ascii="Arial" w:hAnsi="Arial"/>
                <w:sz w:val="21"/>
              </w:rPr>
              <w:t>(4), 696-704.</w:t>
            </w:r>
          </w:p>
          <w:p>
            <w:pPr>
              <w:spacing w:before="240" w:after="240"/>
              <w:ind w:left="0" w:right="0"/>
              <w:rPr>
                <w:rFonts w:ascii="Arial" w:hAnsi="Arial"/>
                <w:sz w:val="21"/>
              </w:rPr>
            </w:pPr>
            <w:r>
              <w:rPr>
                <w:rFonts w:ascii="Arial" w:hAnsi="Arial"/>
                <w:sz w:val="21"/>
              </w:rPr>
              <w:t xml:space="preserve">Fontham, E. T., Correa, P., Reynolds, P., Wu-Williams, A., Buffler, P. A., Greenberg, R. S., . . . Austin, D. F. (1994). Environmental tobacco smoke and lung cancer in nonsmoking women. A multicenter study. </w:t>
            </w:r>
            <w:r>
              <w:rPr>
                <w:rFonts w:ascii="Arial" w:hAnsi="Arial"/>
                <w:i w:val="1"/>
                <w:sz w:val="21"/>
              </w:rPr>
              <w:t>JAMA</w:t>
            </w:r>
            <w:r>
              <w:rPr>
                <w:rFonts w:ascii="Arial" w:hAnsi="Arial"/>
                <w:sz w:val="21"/>
              </w:rPr>
              <w:t xml:space="preserve">, </w:t>
            </w:r>
            <w:r>
              <w:rPr>
                <w:rFonts w:ascii="Arial" w:hAnsi="Arial"/>
                <w:i w:val="1"/>
                <w:sz w:val="21"/>
              </w:rPr>
              <w:t>271</w:t>
            </w:r>
            <w:r>
              <w:rPr>
                <w:rFonts w:ascii="Arial" w:hAnsi="Arial"/>
                <w:sz w:val="21"/>
              </w:rPr>
              <w:t>(22), 1752-1759.</w:t>
            </w:r>
          </w:p>
          <w:p>
            <w:pPr>
              <w:spacing w:before="240" w:after="240"/>
              <w:ind w:left="0" w:right="0"/>
              <w:rPr>
                <w:rFonts w:ascii="Arial" w:hAnsi="Arial"/>
                <w:sz w:val="21"/>
              </w:rPr>
            </w:pPr>
            <w:r>
              <w:rPr>
                <w:rFonts w:ascii="Arial" w:hAnsi="Arial"/>
                <w:sz w:val="21"/>
              </w:rPr>
              <w:t xml:space="preserve">Klepeis, N. E., Nelson, W. C., Ott, W. R., Robinson, J. P., Tsang, A. M., Switzer, P., . . . Engelmann, W. H. (2001). The National Human Activity Pattern Survey (NHAPS): A resource for assessing exposure to environmental pollutants. </w:t>
            </w:r>
            <w:r>
              <w:rPr>
                <w:rFonts w:ascii="Arial" w:hAnsi="Arial"/>
                <w:i w:val="1"/>
                <w:sz w:val="21"/>
              </w:rPr>
              <w:t>Journal of Exposure Analysis and Environmental Epidemiology,</w:t>
            </w:r>
            <w:r>
              <w:rPr>
                <w:rFonts w:ascii="Arial" w:hAnsi="Arial"/>
                <w:sz w:val="21"/>
              </w:rPr>
              <w:t xml:space="preserve"> </w:t>
            </w:r>
            <w:r>
              <w:rPr>
                <w:rFonts w:ascii="Arial" w:hAnsi="Arial"/>
                <w:i w:val="1"/>
                <w:sz w:val="21"/>
              </w:rPr>
              <w:t>11</w:t>
            </w:r>
            <w:r>
              <w:rPr>
                <w:rFonts w:ascii="Arial" w:hAnsi="Arial"/>
                <w:sz w:val="21"/>
              </w:rPr>
              <w:t>(3), 231-252.</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[link[phenxtoolkit.org/about/teams#erp2-members|Expert Review Panel #2]] (ERP 2) reviewed the measures in the Demographics, Environmental Exposures, and Social Environments domains. </w:t>
            </w:r>
          </w:p>
          <w:p>
            <w:pPr>
              <w:spacing w:before="240" w:after="240"/>
              <w:ind w:left="0" w:right="0"/>
              <w:rPr>
                <w:rFonts w:ascii="Arial" w:hAnsi="Arial"/>
                <w:sz w:val="21"/>
              </w:rPr>
            </w:pPr>
            <w:r>
              <w:rPr>
                <w:rFonts w:ascii="Arial" w:hAnsi="Arial"/>
                <w:sz w:val="21"/>
              </w:rPr>
              <w:t>Guidance from ERP 2 includes:</w:t>
            </w:r>
          </w:p>
          <w:p>
            <w:pPr>
              <w:spacing w:before="240" w:after="240"/>
              <w:ind w:left="0" w:right="0"/>
              <w:rPr>
                <w:rFonts w:ascii="Arial" w:hAnsi="Arial"/>
                <w:sz w:val="21"/>
              </w:rPr>
            </w:pPr>
            <w:r>
              <w:rPr>
                <w:rFonts w:ascii="Arial" w:hAnsi="Arial"/>
                <w:sz w:val="21"/>
              </w:rPr>
              <w:t>• No significant changes to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([link[www.phenxtoolkit.org/domains/view/60000#tab5content|link]])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