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68736575" Type="http://schemas.openxmlformats.org/officeDocument/2006/relationships/officeDocument" Target="/word/document.xml" /><Relationship Id="coreR68736575"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Measure</w:t>
            </w:r>
          </w:p>
        </w:tc>
      </w:tr>
      <w:tr>
        <w:tc>
          <w:tcPr>
            <w:tcW w:w="1000" w:type="pct"/>
            <w:vAlign w:val="center"/>
          </w:tcPr>
          <w:p>
            <w:pPr>
              <w:spacing w:before="240" w:after="240"/>
              <w:ind w:left="0" w:right="0"/>
              <w:rPr>
                <w:rFonts w:ascii="Arial" w:hAnsi="Arial"/>
                <w:sz w:val="21"/>
              </w:rPr>
            </w:pPr>
            <w:r>
              <w:rPr>
                <w:rFonts w:ascii="Arial" w:hAnsi="Arial"/>
                <w:b w:val="1"/>
                <w:sz w:val="21"/>
              </w:rPr>
              <w:t>Protocol Id</w:t>
            </w:r>
          </w:p>
        </w:tc>
        <w:tc>
          <w:tcPr>
            <w:tcW w:w="0" w:type="auto"/>
            <w:vAlign w:val="center"/>
          </w:tcPr>
          <w:p>
            <w:pPr>
              <w:spacing w:before="240" w:after="240"/>
              <w:ind w:left="0" w:right="0"/>
              <w:rPr>
                <w:rFonts w:ascii="Arial" w:hAnsi="Arial"/>
                <w:sz w:val="21"/>
              </w:rPr>
            </w:pPr>
            <w:r>
              <w:rPr>
                <w:rFonts w:ascii="Arial" w:hAnsi="Arial"/>
                <w:sz w:val="21"/>
              </w:rPr>
              <w:t>870201</w:t>
            </w:r>
          </w:p>
        </w:tc>
      </w:tr>
      <w:tr>
        <w:tc>
          <w:tcPr>
            <w:tcW w:w="1000" w:type="pct"/>
            <w:vAlign w:val="center"/>
          </w:tcPr>
          <w:p>
            <w:pPr>
              <w:spacing w:before="240" w:after="240"/>
              <w:ind w:left="0" w:right="0"/>
              <w:rPr>
                <w:rFonts w:ascii="Arial" w:hAnsi="Arial"/>
                <w:sz w:val="21"/>
              </w:rPr>
            </w:pPr>
            <w:r>
              <w:rPr>
                <w:rFonts w:ascii="Arial" w:hAnsi="Arial"/>
                <w:b w:val="1"/>
                <w:sz w:val="21"/>
              </w:rPr>
              <w:t>Domain:</w:t>
            </w:r>
          </w:p>
        </w:tc>
        <w:tc>
          <w:tcPr>
            <w:tcW w:w="0" w:type="auto"/>
            <w:vAlign w:val="center"/>
          </w:tcPr>
          <w:p>
            <w:pPr>
              <w:ind w:left="0" w:right="0"/>
            </w:pPr>
            <w:r>
              <w:rPr>
                <w:rFonts w:ascii="Arial" w:hAnsi="Arial"/>
                <w:sz w:val="21"/>
              </w:rPr>
              <w:t xml:space="preserve">SCD Research Working Group 5: Psychosocial and Social Determinants of Health Specialty Collection </w:t>
            </w:r>
          </w:p>
        </w:tc>
      </w:tr>
      <w:tr>
        <w:tc>
          <w:tcPr>
            <w:tcW w:w="1000" w:type="pct"/>
            <w:vAlign w:val="center"/>
          </w:tcPr>
          <w:p>
            <w:pPr>
              <w:spacing w:before="240" w:after="240"/>
              <w:ind w:left="0" w:right="0"/>
              <w:rPr>
                <w:rFonts w:ascii="Arial" w:hAnsi="Arial"/>
                <w:sz w:val="21"/>
              </w:rPr>
            </w:pPr>
            <w:r>
              <w:rPr>
                <w:rFonts w:ascii="Arial" w:hAnsi="Arial"/>
                <w:b w:val="1"/>
                <w:sz w:val="21"/>
              </w:rPr>
              <w:t>Measure:</w:t>
            </w:r>
          </w:p>
        </w:tc>
        <w:tc>
          <w:tcPr>
            <w:tcW w:w="0" w:type="auto"/>
            <w:vAlign w:val="center"/>
          </w:tcPr>
          <w:p>
            <w:pPr>
              <w:ind w:left="0" w:right="0"/>
            </w:pPr>
            <w:r>
              <w:rPr>
                <w:rFonts w:ascii="Arial" w:hAnsi="Arial"/>
                <w:sz w:val="21"/>
              </w:rPr>
              <w:t xml:space="preserve">Sickle Cell Disease Health-Related External Stigma </w:t>
            </w:r>
          </w:p>
        </w:tc>
      </w:tr>
      <w:tr>
        <w:tc>
          <w:tcPr>
            <w:tcW w:w="1000" w:type="pct"/>
            <w:vAlign w:val="center"/>
          </w:tcPr>
          <w:p>
            <w:pPr>
              <w:spacing w:before="240" w:after="240"/>
              <w:ind w:left="0" w:right="0"/>
              <w:rPr>
                <w:rFonts w:ascii="Arial" w:hAnsi="Arial"/>
                <w:sz w:val="21"/>
              </w:rPr>
            </w:pPr>
            <w:r>
              <w:rPr>
                <w:rFonts w:ascii="Arial" w:hAnsi="Arial"/>
                <w:b w:val="1"/>
                <w:sz w:val="21"/>
              </w:rPr>
              <w:t>Definition:</w:t>
            </w:r>
          </w:p>
        </w:tc>
        <w:tc>
          <w:tcPr>
            <w:tcW w:w="0" w:type="auto"/>
            <w:vAlign w:val="center"/>
          </w:tcPr>
          <w:p>
            <w:pPr>
              <w:ind w:left="0" w:right="0"/>
            </w:pPr>
            <w:r>
              <w:rPr>
                <w:rFonts w:ascii="Arial" w:hAnsi="Arial"/>
                <w:sz w:val="21"/>
              </w:rPr>
              <w:t xml:space="preserve">Stigmatization due to health status or chronic disease burden is referred to as health-related stigma and involves devaluation, judgement, or social disqualification of individuals based on health condition. This protocol specifically addresses stigma associated with sickle cell disease. </w:t>
            </w:r>
          </w:p>
        </w:tc>
      </w:tr>
      <w:tr>
        <w:tc>
          <w:tcPr>
            <w:tcW w:w="1000" w:type="pct"/>
            <w:vAlign w:val="center"/>
          </w:tcPr>
          <w:p>
            <w:pPr>
              <w:spacing w:before="240" w:after="240"/>
              <w:ind w:left="0" w:right="0"/>
              <w:rPr>
                <w:rFonts w:ascii="Arial" w:hAnsi="Arial"/>
                <w:sz w:val="21"/>
              </w:rPr>
            </w:pPr>
            <w:r>
              <w:rPr>
                <w:rFonts w:ascii="Arial" w:hAnsi="Arial"/>
                <w:b w:val="1"/>
                <w:sz w:val="21"/>
              </w:rPr>
              <w:t>Purpose:</w:t>
            </w:r>
          </w:p>
        </w:tc>
        <w:tc>
          <w:tcPr>
            <w:tcW w:w="0" w:type="auto"/>
            <w:vAlign w:val="center"/>
          </w:tcPr>
          <w:p>
            <w:pPr>
              <w:ind w:left="0" w:right="0"/>
            </w:pPr>
            <w:r>
              <w:rPr>
                <w:rFonts w:ascii="Arial" w:hAnsi="Arial"/>
                <w:sz w:val="21"/>
              </w:rPr>
              <w:t xml:space="preserve">Stigma can cause detrimental effects on the health of individuals, especially those with chronic disease burden. Effects can include negative social consequences such as status loss, employment discrimination, impairment of healthcare interactions, and reduced physiological and psychological well-being. </w:t>
            </w:r>
          </w:p>
        </w:tc>
      </w:tr>
      <w:tr>
        <w:tc>
          <w:tcPr>
            <w:tcW w:w="1000" w:type="pct"/>
            <w:vAlign w:val="center"/>
          </w:tcPr>
          <w:p>
            <w:pPr>
              <w:spacing w:before="240" w:after="240"/>
              <w:ind w:left="0" w:right="0"/>
              <w:rPr>
                <w:rFonts w:ascii="Arial" w:hAnsi="Arial"/>
                <w:sz w:val="21"/>
              </w:rPr>
            </w:pPr>
            <w:r>
              <w:rPr>
                <w:rFonts w:ascii="Arial" w:hAnsi="Arial"/>
                <w:b w:val="1"/>
                <w:sz w:val="21"/>
              </w:rPr>
              <w:t>Essential PhenX Protocols:</w:t>
            </w:r>
          </w:p>
        </w:tc>
        <w:tc>
          <w:tcPr>
            <w:tcW w:w="0" w:type="auto"/>
            <w:vAlign w:val="center"/>
          </w:tcPr>
          <w:p>
            <w:pPr>
              <w:ind w:left="0" w:right="0"/>
            </w:pPr>
            <w:r>
              <w:rPr>
                <w:rFonts w:ascii="Arial" w:hAnsi="Arial"/>
                <w:sz w:val="21"/>
              </w:rPr>
              <w:t>Sex Assigned at Birth [11601]</w:t>
              <w:br w:type="textWrapping"/>
              <w:t>Current Age [10101]</w:t>
              <w:br w:type="textWrapping"/>
              <w:t>Ethnicity and Race [11901]</w:t>
              <w:br w:type="textWrapping"/>
              <w:t>Gender Identity [11801]</w:t>
              <w:br w:type="textWrapping"/>
              <w:t>Sex Assigned at Birth [11601]</w:t>
              <w:br w:type="textWrapping"/>
              <w:t>Current Age [10101]</w:t>
              <w:br w:type="textWrapping"/>
              <w:t>Ethnicity and Race [11901]</w:t>
              <w:br w:type="textWrapping"/>
              <w:t xml:space="preserve">Gender Identity [11801] </w:t>
            </w:r>
          </w:p>
        </w:tc>
      </w:tr>
      <w:tr>
        <w:tc>
          <w:tcPr>
            <w:tcW w:w="1000" w:type="pct"/>
            <w:vAlign w:val="center"/>
          </w:tcPr>
          <w:p>
            <w:pPr>
              <w:spacing w:before="240" w:after="240"/>
              <w:ind w:left="0" w:right="0"/>
              <w:rPr>
                <w:rFonts w:ascii="Arial" w:hAnsi="Arial"/>
                <w:sz w:val="21"/>
              </w:rPr>
            </w:pPr>
            <w:r>
              <w:rPr>
                <w:rFonts w:ascii="Arial" w:hAnsi="Arial"/>
                <w:b w:val="1"/>
                <w:sz w:val="21"/>
              </w:rPr>
              <w:t>Related PhenX Protocols:</w:t>
            </w:r>
          </w:p>
        </w:tc>
        <w:tc>
          <w:tcPr>
            <w:tcW w:w="0" w:type="auto"/>
            <w:vAlign w:val="center"/>
          </w:tcPr>
          <w:p>
            <w:pPr>
              <w:ind w:left="0" w:right="0"/>
            </w:pPr>
            <w:r>
              <w:rPr>
                <w:rFonts w:ascii="Arial" w:hAnsi="Arial"/>
                <w:sz w:val="21"/>
              </w:rPr>
              <w:t>Sickle Cell Disease Health-Related Internal Stigma - Adolescent and Adult [870301]</w:t>
              <w:br w:type="textWrapping"/>
              <w:t>Sickle Cell Disease Health-Related Stigma - Child [870101]</w:t>
              <w:br w:type="textWrapping"/>
              <w:t>Discrimination [210302]</w:t>
              <w:br w:type="textWrapping"/>
              <w:t>Sickle Cell Disease Health-Related Internal Stigma - Adolescent and Adult [870301]</w:t>
              <w:br w:type="textWrapping"/>
              <w:t>Sickle Cell Disease Health-Related Stigma - Child [870101]</w:t>
              <w:br w:type="textWrapping"/>
              <w:t xml:space="preserve">Discrimination [210302] </w:t>
            </w:r>
          </w:p>
        </w:tc>
      </w:tr>
      <w:tr>
        <w:tc>
          <w:tcPr>
            <w:tcW w:w="1000" w:type="pct"/>
            <w:vAlign w:val="center"/>
          </w:tcPr>
          <w:p>
            <w:pPr>
              <w:spacing w:before="240" w:after="240"/>
              <w:ind w:left="0" w:right="0"/>
              <w:rPr>
                <w:rFonts w:ascii="Arial" w:hAnsi="Arial"/>
                <w:sz w:val="21"/>
              </w:rPr>
            </w:pPr>
            <w:r>
              <w:rPr>
                <w:rFonts w:ascii="Arial" w:hAnsi="Arial"/>
                <w:b w:val="1"/>
                <w:sz w:val="21"/>
              </w:rPr>
              <w:t>Measure Release Date:</w:t>
            </w:r>
          </w:p>
        </w:tc>
        <w:tc>
          <w:tcPr>
            <w:tcW w:w="0" w:type="auto"/>
            <w:vAlign w:val="center"/>
          </w:tcPr>
          <w:p>
            <w:pPr>
              <w:ind w:left="0" w:right="0"/>
            </w:pPr>
            <w:r>
              <w:rPr>
                <w:rFonts w:ascii="Arial" w:hAnsi="Arial"/>
                <w:sz w:val="21"/>
              </w:rPr>
              <w:t xml:space="preserve">May 26, 2023 </w:t>
            </w:r>
          </w:p>
        </w:tc>
      </w:tr>
    </w:tbl>
    <w:p>
      <w:pPr>
        <w:spacing w:before="0" w:after="0"/>
        <w:ind w:firstLine="0" w:left="0" w:right="0"/>
      </w:pPr>
      <w:r>
        <w:br w:type="textWrapping"/>
      </w:r>
    </w:p>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Protocol</w:t>
            </w:r>
          </w:p>
        </w:tc>
      </w:tr>
      <w:tr>
        <w:tc>
          <w:tcPr>
            <w:tcW w:w="1000" w:type="pct"/>
            <w:vAlign w:val="center"/>
          </w:tcPr>
          <w:p>
            <w:pPr>
              <w:spacing w:before="240" w:after="240"/>
              <w:ind w:left="0" w:right="0"/>
              <w:rPr>
                <w:rFonts w:ascii="Arial" w:hAnsi="Arial"/>
                <w:sz w:val="21"/>
              </w:rPr>
            </w:pPr>
            <w:r>
              <w:rPr>
                <w:rFonts w:ascii="Arial" w:hAnsi="Arial"/>
                <w:b w:val="1"/>
                <w:sz w:val="21"/>
              </w:rPr>
              <w:t>Protocol Release Date:</w:t>
            </w:r>
          </w:p>
        </w:tc>
        <w:tc>
          <w:tcPr>
            <w:tcW w:w="0" w:type="auto"/>
            <w:vAlign w:val="center"/>
          </w:tcPr>
          <w:p>
            <w:pPr>
              <w:ind w:left="0" w:right="0"/>
            </w:pPr>
            <w:r>
              <w:rPr>
                <w:rFonts w:ascii="Arial" w:hAnsi="Arial"/>
                <w:sz w:val="21"/>
              </w:rPr>
              <w:t xml:space="preserve">May 26, 2023 </w:t>
            </w:r>
          </w:p>
        </w:tc>
      </w:tr>
      <w:tr>
        <w:tc>
          <w:tcPr>
            <w:tcW w:w="1000" w:type="pct"/>
            <w:vAlign w:val="center"/>
          </w:tcPr>
          <w:p>
            <w:pPr>
              <w:spacing w:before="240" w:after="240"/>
              <w:ind w:left="0" w:right="0"/>
              <w:rPr>
                <w:rFonts w:ascii="Arial" w:hAnsi="Arial"/>
                <w:sz w:val="21"/>
              </w:rPr>
            </w:pPr>
            <w:r>
              <w:rPr>
                <w:rFonts w:ascii="Arial" w:hAnsi="Arial"/>
                <w:b w:val="1"/>
                <w:sz w:val="21"/>
              </w:rPr>
              <w:t>Protocol Review Date:</w:t>
            </w:r>
          </w:p>
        </w:tc>
        <w:tc>
          <w:tcPr>
            <w:tcW w:w="0" w:type="auto"/>
            <w:vAlign w:val="center"/>
          </w:tcPr>
          <w:p>
            <w:pPr>
              <w:ind w:left="0" w:right="0"/>
            </w:pPr>
            <w:r>
              <w:rPr>
                <w:rFonts w:ascii="Arial" w:hAnsi="Arial"/>
                <w:sz w:val="21"/>
              </w:rPr>
              <w:t xml:space="preserve">NA </w:t>
            </w:r>
          </w:p>
        </w:tc>
      </w:tr>
      <w:tr>
        <w:tc>
          <w:tcPr>
            <w:tcW w:w="1000" w:type="pct"/>
            <w:vAlign w:val="center"/>
          </w:tcPr>
          <w:p>
            <w:pPr>
              <w:spacing w:before="240" w:after="240"/>
              <w:ind w:left="0" w:right="0"/>
              <w:rPr>
                <w:rFonts w:ascii="Arial" w:hAnsi="Arial"/>
                <w:sz w:val="21"/>
              </w:rPr>
            </w:pPr>
            <w:r>
              <w:rPr>
                <w:rFonts w:ascii="Arial" w:hAnsi="Arial"/>
                <w:b w:val="1"/>
                <w:sz w:val="21"/>
              </w:rPr>
              <w:t>PhenX Protocol Name:</w:t>
            </w:r>
          </w:p>
        </w:tc>
        <w:tc>
          <w:tcPr>
            <w:tcW w:w="0" w:type="auto"/>
            <w:vAlign w:val="center"/>
          </w:tcPr>
          <w:p>
            <w:pPr>
              <w:ind w:left="0" w:right="0"/>
            </w:pPr>
            <w:r>
              <w:rPr>
                <w:rFonts w:ascii="Arial" w:hAnsi="Arial"/>
                <w:sz w:val="21"/>
              </w:rPr>
              <w:t xml:space="preserve">Sickle Cell Disease Health-Related External Stigma - Adolescent and Adult </w:t>
            </w:r>
          </w:p>
        </w:tc>
      </w:tr>
      <w:tr>
        <w:tc>
          <w:tcPr>
            <w:tcW w:w="1000" w:type="pct"/>
            <w:vAlign w:val="center"/>
          </w:tcPr>
          <w:p>
            <w:pPr>
              <w:spacing w:before="240" w:after="240"/>
              <w:ind w:left="0" w:right="0"/>
              <w:rPr>
                <w:rFonts w:ascii="Arial" w:hAnsi="Arial"/>
                <w:sz w:val="21"/>
              </w:rPr>
            </w:pPr>
            <w:r>
              <w:rPr>
                <w:rFonts w:ascii="Arial" w:hAnsi="Arial"/>
                <w:b w:val="1"/>
                <w:sz w:val="21"/>
              </w:rPr>
              <w:t>Protocol Name From Source:</w:t>
            </w:r>
          </w:p>
        </w:tc>
        <w:tc>
          <w:tcPr>
            <w:tcW w:w="0" w:type="auto"/>
            <w:vAlign w:val="center"/>
          </w:tcPr>
          <w:p>
            <w:pPr>
              <w:ind w:left="0" w:right="0"/>
            </w:pPr>
            <w:r>
              <w:rPr>
                <w:rFonts w:ascii="Arial" w:hAnsi="Arial"/>
                <w:sz w:val="21"/>
              </w:rPr>
              <w:t xml:space="preserve">Sickle Cell Disease Health-Related Stigma Scale (SCD-HRSS) </w:t>
            </w:r>
          </w:p>
        </w:tc>
      </w:tr>
      <w:tr>
        <w:tc>
          <w:tcPr>
            <w:tcW w:w="1000" w:type="pct"/>
            <w:vAlign w:val="center"/>
          </w:tcPr>
          <w:p>
            <w:pPr>
              <w:spacing w:before="240" w:after="240"/>
              <w:ind w:left="0" w:right="0"/>
              <w:rPr>
                <w:rFonts w:ascii="Arial" w:hAnsi="Arial"/>
                <w:sz w:val="21"/>
              </w:rPr>
            </w:pPr>
            <w:r>
              <w:rPr>
                <w:rFonts w:ascii="Arial" w:hAnsi="Arial"/>
                <w:b w:val="1"/>
                <w:sz w:val="21"/>
              </w:rPr>
              <w:t>Protocol Availability:</w:t>
            </w:r>
          </w:p>
        </w:tc>
        <w:tc>
          <w:tcPr>
            <w:tcW w:w="0" w:type="auto"/>
            <w:vAlign w:val="center"/>
          </w:tcPr>
          <w:p>
            <w:pPr>
              <w:ind w:left="0" w:right="0"/>
            </w:pPr>
            <w:r>
              <w:rPr>
                <w:rFonts w:ascii="Arial" w:hAnsi="Arial"/>
                <w:sz w:val="21"/>
              </w:rPr>
              <w:t xml:space="preserve">Available </w:t>
            </w:r>
          </w:p>
        </w:tc>
      </w:tr>
      <w:tr>
        <w:tc>
          <w:tcPr>
            <w:tcW w:w="1000" w:type="pct"/>
            <w:vAlign w:val="center"/>
          </w:tcPr>
          <w:p>
            <w:pPr>
              <w:spacing w:before="240" w:after="240"/>
              <w:ind w:left="0" w:right="0"/>
              <w:rPr>
                <w:rFonts w:ascii="Arial" w:hAnsi="Arial"/>
                <w:sz w:val="21"/>
              </w:rPr>
            </w:pPr>
            <w:r>
              <w:rPr>
                <w:rFonts w:ascii="Arial" w:hAnsi="Arial"/>
                <w:b w:val="1"/>
                <w:sz w:val="21"/>
              </w:rPr>
              <w:t>Keywords:</w:t>
            </w:r>
          </w:p>
        </w:tc>
        <w:tc>
          <w:tcPr>
            <w:tcW w:w="0" w:type="auto"/>
            <w:vAlign w:val="center"/>
          </w:tcPr>
          <w:p>
            <w:pPr>
              <w:ind w:left="0" w:right="0"/>
            </w:pPr>
            <w:r>
              <w:rPr>
                <w:rFonts w:ascii="Arial" w:hAnsi="Arial"/>
                <w:sz w:val="21"/>
              </w:rPr>
              <w:t xml:space="preserve">Stigma; external; sickle cell disease; SCD; health status; Sickle Cell Disease Health-Related Stigma Scale; SCD-HRSS; emotion; Psychosocial; chronic; chronic disease; pain </w:t>
            </w:r>
          </w:p>
        </w:tc>
      </w:tr>
      <w:tr>
        <w:tc>
          <w:tcPr>
            <w:tcW w:w="1000" w:type="pct"/>
            <w:vAlign w:val="center"/>
          </w:tcPr>
          <w:p>
            <w:pPr>
              <w:spacing w:before="240" w:after="240"/>
              <w:ind w:left="0" w:right="0"/>
              <w:rPr>
                <w:rFonts w:ascii="Arial" w:hAnsi="Arial"/>
                <w:sz w:val="21"/>
              </w:rPr>
            </w:pPr>
            <w:r>
              <w:rPr>
                <w:rFonts w:ascii="Arial" w:hAnsi="Arial"/>
                <w:b w:val="1"/>
                <w:sz w:val="21"/>
              </w:rPr>
              <w:t>Description:</w:t>
            </w:r>
          </w:p>
        </w:tc>
        <w:tc>
          <w:tcPr>
            <w:tcW w:w="0" w:type="auto"/>
            <w:vAlign w:val="center"/>
          </w:tcPr>
          <w:p>
            <w:pPr>
              <w:spacing w:before="240" w:after="240"/>
              <w:ind w:left="0" w:right="0"/>
              <w:rPr>
                <w:rFonts w:ascii="Arial" w:hAnsi="Arial"/>
                <w:sz w:val="21"/>
              </w:rPr>
            </w:pPr>
            <w:r>
              <w:rPr>
                <w:rFonts w:ascii="Arial" w:hAnsi="Arial"/>
                <w:sz w:val="21"/>
              </w:rPr>
              <w:t>The Sickle Cell Disease Health-Related Stigma Scale (SCD-HRSS) is a 30-item self-administered questionnaire that measures the amount of external stigma experienced by SCD patients (specifically, related to pain).</w:t>
            </w:r>
          </w:p>
        </w:tc>
      </w:tr>
      <w:tr>
        <w:tc>
          <w:tcPr>
            <w:tcW w:w="1000" w:type="pct"/>
            <w:vAlign w:val="center"/>
          </w:tcPr>
          <w:p>
            <w:pPr>
              <w:spacing w:before="240" w:after="240"/>
              <w:ind w:left="0" w:right="0"/>
              <w:rPr>
                <w:rFonts w:ascii="Arial" w:hAnsi="Arial"/>
                <w:sz w:val="21"/>
              </w:rPr>
            </w:pPr>
            <w:r>
              <w:rPr>
                <w:rFonts w:ascii="Arial" w:hAnsi="Arial"/>
                <w:b w:val="1"/>
                <w:sz w:val="21"/>
              </w:rPr>
              <w:t>Specific Instructions:</w:t>
            </w:r>
          </w:p>
        </w:tc>
        <w:tc>
          <w:tcPr>
            <w:tcW w:w="0" w:type="auto"/>
            <w:vAlign w:val="center"/>
          </w:tcPr>
          <w:p>
            <w:pPr>
              <w:spacing w:before="240" w:after="240"/>
              <w:ind w:left="0" w:right="0"/>
              <w:rPr>
                <w:rFonts w:ascii="Arial" w:hAnsi="Arial"/>
                <w:sz w:val="21"/>
              </w:rPr>
            </w:pPr>
            <w:r>
              <w:rPr>
                <w:rFonts w:ascii="Arial" w:hAnsi="Arial"/>
                <w:sz w:val="21"/>
              </w:rPr>
              <w:t>The Psychosocial and SDoH Working Group recognizes that these instruments were not developed using inclusive language. The WG recognizes that investigators may want to implement the protocols with appropriate language, but caution that changes should not otherwise alter the items.</w:t>
            </w:r>
          </w:p>
          <w:p>
            <w:pPr>
              <w:spacing w:before="240" w:after="240"/>
              <w:ind w:left="0" w:right="0"/>
              <w:rPr>
                <w:rFonts w:ascii="Arial" w:hAnsi="Arial"/>
                <w:sz w:val="21"/>
              </w:rPr>
            </w:pPr>
            <w:r>
              <w:rPr>
                <w:rFonts w:ascii="Arial" w:hAnsi="Arial"/>
                <w:sz w:val="21"/>
              </w:rPr>
              <w:t>This scale is designed to be completed with sickle cell disease (SCD) patients who experience pain as a complication of their disease. It was designed in the United States and may require adaptations for use with SCD populations outside of the United States.</w:t>
            </w:r>
          </w:p>
        </w:tc>
      </w:tr>
      <w:tr>
        <w:tc>
          <w:tcPr>
            <w:tcW w:w="1000" w:type="pct"/>
            <w:vAlign w:val="center"/>
          </w:tcPr>
          <w:p>
            <w:pPr>
              <w:spacing w:before="240" w:after="240"/>
              <w:ind w:left="0" w:right="0"/>
              <w:rPr>
                <w:rFonts w:ascii="Arial" w:hAnsi="Arial"/>
                <w:sz w:val="21"/>
              </w:rPr>
            </w:pPr>
            <w:r>
              <w:rPr>
                <w:rFonts w:ascii="Arial" w:hAnsi="Arial"/>
                <w:b w:val="1"/>
                <w:sz w:val="21"/>
              </w:rPr>
              <w:t>Protocol:</w:t>
            </w:r>
          </w:p>
        </w:tc>
        <w:tc>
          <w:tcPr>
            <w:tcW w:w="0" w:type="auto"/>
            <w:vAlign w:val="center"/>
          </w:tcPr>
          <w:p>
            <w:pPr>
              <w:spacing w:before="240" w:after="240"/>
              <w:ind w:left="0" w:right="0"/>
              <w:jc w:val="center"/>
              <w:rPr>
                <w:rFonts w:ascii="Arial" w:hAnsi="Arial"/>
                <w:sz w:val="21"/>
              </w:rPr>
            </w:pPr>
            <w:r>
              <w:rPr>
                <w:rFonts w:ascii="Arial" w:hAnsi="Arial"/>
                <w:b w:val="1"/>
                <w:sz w:val="21"/>
              </w:rPr>
              <w:t>SCD Health-Related Stigma Scale</w:t>
            </w:r>
          </w:p>
          <w:p>
            <w:pPr>
              <w:spacing w:before="240" w:after="240"/>
              <w:ind w:left="0" w:right="0"/>
              <w:rPr>
                <w:rFonts w:ascii="Arial" w:hAnsi="Arial"/>
                <w:sz w:val="21"/>
              </w:rPr>
            </w:pPr>
            <w:r>
              <w:rPr>
                <w:rFonts w:ascii="Arial" w:hAnsi="Arial"/>
                <w:sz w:val="21"/>
              </w:rPr>
              <w:t>Please select the number that best reflects your agreement with each statement below.</w:t>
            </w:r>
          </w:p>
          <w:p>
            <w:pPr>
              <w:spacing w:before="240" w:after="240"/>
              <w:ind w:left="0" w:right="0"/>
              <w:rPr>
                <w:rFonts w:ascii="Arial" w:hAnsi="Arial"/>
                <w:sz w:val="21"/>
              </w:rPr>
            </w:pPr>
            <w:r>
              <w:rPr>
                <w:rFonts w:ascii="Arial" w:hAnsi="Arial"/>
                <w:sz w:val="21"/>
              </w:rPr>
              <w:t>5 = Strongly Agree</w:t>
              <w:br w:type="textWrapping"/>
              <w:t>4 = Somewhat Agree</w:t>
              <w:br w:type="textWrapping"/>
              <w:t>3 = Neutral</w:t>
              <w:br w:type="textWrapping"/>
              <w:t>2 = Somewhat Disagree</w:t>
              <w:br w:type="textWrapping"/>
              <w:t>1 = Strongly Disagree</w:t>
            </w:r>
          </w:p>
          <w:p>
            <w:pPr>
              <w:spacing w:before="240" w:after="240"/>
              <w:ind w:left="0" w:right="0"/>
              <w:rPr>
                <w:rFonts w:ascii="Arial" w:hAnsi="Arial"/>
                <w:sz w:val="21"/>
              </w:rPr>
            </w:pPr>
            <w:r>
              <w:rPr>
                <w:rFonts w:ascii="Arial" w:hAnsi="Arial"/>
                <w:b w:val="1"/>
                <w:sz w:val="21"/>
              </w:rPr>
              <w:t>In the following 10 statements, the word "</w:t>
            </w:r>
            <w:r>
              <w:rPr>
                <w:rFonts w:ascii="Arial" w:hAnsi="Arial"/>
                <w:b w:val="1"/>
                <w:sz w:val="21"/>
                <w:u w:val="single"/>
              </w:rPr>
              <w:t>people</w:t>
            </w:r>
            <w:r>
              <w:rPr>
                <w:rFonts w:ascii="Arial" w:hAnsi="Arial"/>
                <w:b w:val="1"/>
                <w:sz w:val="21"/>
              </w:rPr>
              <w:t>" refers to people in general, not members of your family.</w:t>
            </w:r>
          </w:p>
          <w:tbl>
            <w:tblPr>
              <w:tblW w:w="0" w:type="auto"/>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none" w:sz="0" w:space="0" w:shadow="0" w:frame="0"/>
                <w:insideV w:val="none" w:sz="0" w:space="0" w:shadow="0" w:frame="0"/>
              </w:tblBorders>
              <w:tblCellMar>
                <w:top w:w="15" w:type="dxa"/>
                <w:left w:w="15" w:type="dxa"/>
                <w:bottom w:w="15" w:type="dxa"/>
                <w:right w:w="15" w:type="dxa"/>
              </w:tblCellMar>
            </w:tblPr>
            <w:tblGrid/>
            <w:t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rPr>
                      <w:rFonts w:ascii="Arial" w:hAnsi="Arial"/>
                      <w:sz w:val="21"/>
                    </w:rPr>
                  </w:pPr>
                  <w:r>
                    <w:rPr>
                      <w:rFonts w:ascii="Arial" w:hAnsi="Arial"/>
                      <w:sz w:val="21"/>
                    </w:rPr>
                    <w:t>1.*</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rPr>
                      <w:rFonts w:ascii="Arial" w:hAnsi="Arial"/>
                      <w:sz w:val="21"/>
                    </w:rPr>
                  </w:pPr>
                  <w:r>
                    <w:rPr>
                      <w:rFonts w:ascii="Arial" w:hAnsi="Arial"/>
                      <w:sz w:val="21"/>
                    </w:rPr>
                    <w:t>People believe that someone with sickle cell pain is as mentally and emotionally healthy as the average person.</w:t>
                  </w:r>
                </w:p>
              </w:tc>
              <w:tc>
                <w:tcPr>
                  <w:tcW w:w="250" w:type="pct"/>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5</w:t>
                  </w:r>
                </w:p>
              </w:tc>
              <w:tc>
                <w:tcPr>
                  <w:tcW w:w="250" w:type="pct"/>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4</w:t>
                  </w:r>
                </w:p>
              </w:tc>
              <w:tc>
                <w:tcPr>
                  <w:tcW w:w="250" w:type="pct"/>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3</w:t>
                  </w:r>
                </w:p>
              </w:tc>
              <w:tc>
                <w:tcPr>
                  <w:tcW w:w="250" w:type="pct"/>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2</w:t>
                  </w:r>
                </w:p>
              </w:tc>
              <w:tc>
                <w:tcPr>
                  <w:tcW w:w="250" w:type="pct"/>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1</w:t>
                  </w:r>
                </w:p>
              </w:tc>
            </w:tr>
            <w:t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rPr>
                      <w:rFonts w:ascii="Arial" w:hAnsi="Arial"/>
                      <w:sz w:val="21"/>
                    </w:rPr>
                  </w:pPr>
                  <w:r>
                    <w:rPr>
                      <w:rFonts w:ascii="Arial" w:hAnsi="Arial"/>
                      <w:sz w:val="21"/>
                    </w:rPr>
                    <w:t>2.</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rPr>
                      <w:rFonts w:ascii="Arial" w:hAnsi="Arial"/>
                      <w:sz w:val="21"/>
                    </w:rPr>
                  </w:pPr>
                  <w:r>
                    <w:rPr>
                      <w:rFonts w:ascii="Arial" w:hAnsi="Arial"/>
                      <w:sz w:val="21"/>
                    </w:rPr>
                    <w:t>People believe that it is mostly the patients fault when his/her pain does not get better.</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5</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3</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2</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1</w:t>
                  </w:r>
                </w:p>
              </w:tc>
            </w:tr>
            <w:t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rPr>
                      <w:rFonts w:ascii="Arial" w:hAnsi="Arial"/>
                      <w:sz w:val="21"/>
                    </w:rPr>
                  </w:pPr>
                  <w:r>
                    <w:rPr>
                      <w:rFonts w:ascii="Arial" w:hAnsi="Arial"/>
                      <w:sz w:val="21"/>
                    </w:rPr>
                    <w:t>3.*</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rPr>
                      <w:rFonts w:ascii="Arial" w:hAnsi="Arial"/>
                      <w:sz w:val="21"/>
                    </w:rPr>
                  </w:pPr>
                  <w:r>
                    <w:rPr>
                      <w:rFonts w:ascii="Arial" w:hAnsi="Arial"/>
                      <w:sz w:val="21"/>
                    </w:rPr>
                    <w:t>People are sympathetic when they hear about my pain condition.</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5</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3</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2</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1</w:t>
                  </w:r>
                </w:p>
              </w:tc>
            </w:tr>
            <w:t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rPr>
                      <w:rFonts w:ascii="Arial" w:hAnsi="Arial"/>
                      <w:sz w:val="21"/>
                    </w:rPr>
                  </w:pPr>
                  <w:r>
                    <w:rPr>
                      <w:rFonts w:ascii="Arial" w:hAnsi="Arial"/>
                      <w:sz w:val="21"/>
                    </w:rPr>
                    <w:t>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rPr>
                      <w:rFonts w:ascii="Arial" w:hAnsi="Arial"/>
                      <w:sz w:val="21"/>
                    </w:rPr>
                  </w:pPr>
                  <w:r>
                    <w:rPr>
                      <w:rFonts w:ascii="Arial" w:hAnsi="Arial"/>
                      <w:sz w:val="21"/>
                    </w:rPr>
                    <w:t>People believe that sickle cell is used as an excuse to get pain medication.</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5</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3</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2</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1</w:t>
                  </w:r>
                </w:p>
              </w:tc>
            </w:tr>
            <w:t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rPr>
                      <w:rFonts w:ascii="Arial" w:hAnsi="Arial"/>
                      <w:sz w:val="21"/>
                    </w:rPr>
                  </w:pPr>
                  <w:r>
                    <w:rPr>
                      <w:rFonts w:ascii="Arial" w:hAnsi="Arial"/>
                      <w:sz w:val="21"/>
                    </w:rPr>
                    <w:t>5.*</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rPr>
                      <w:rFonts w:ascii="Arial" w:hAnsi="Arial"/>
                      <w:sz w:val="21"/>
                    </w:rPr>
                  </w:pPr>
                  <w:r>
                    <w:rPr>
                      <w:rFonts w:ascii="Arial" w:hAnsi="Arial"/>
                      <w:sz w:val="21"/>
                    </w:rPr>
                    <w:t>People understand the suffering experienced by someone with chronic pain.</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5</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3</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2</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1</w:t>
                  </w:r>
                </w:p>
              </w:tc>
            </w:tr>
            <w:t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rPr>
                      <w:rFonts w:ascii="Arial" w:hAnsi="Arial"/>
                      <w:sz w:val="21"/>
                    </w:rPr>
                  </w:pPr>
                  <w:r>
                    <w:rPr>
                      <w:rFonts w:ascii="Arial" w:hAnsi="Arial"/>
                      <w:sz w:val="21"/>
                    </w:rPr>
                    <w:t>6.</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rPr>
                      <w:rFonts w:ascii="Arial" w:hAnsi="Arial"/>
                      <w:sz w:val="21"/>
                    </w:rPr>
                  </w:pPr>
                  <w:r>
                    <w:rPr>
                      <w:rFonts w:ascii="Arial" w:hAnsi="Arial"/>
                      <w:sz w:val="21"/>
                    </w:rPr>
                    <w:t>I feel embarrassed to tell people that I cannot do something because of my pain.</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5</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3</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2</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1</w:t>
                  </w:r>
                </w:p>
              </w:tc>
            </w:tr>
            <w:t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rPr>
                      <w:rFonts w:ascii="Arial" w:hAnsi="Arial"/>
                      <w:sz w:val="21"/>
                    </w:rPr>
                  </w:pPr>
                  <w:r>
                    <w:rPr>
                      <w:rFonts w:ascii="Arial" w:hAnsi="Arial"/>
                      <w:sz w:val="21"/>
                    </w:rPr>
                    <w:t>7.</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rPr>
                      <w:rFonts w:ascii="Arial" w:hAnsi="Arial"/>
                      <w:sz w:val="21"/>
                    </w:rPr>
                  </w:pPr>
                  <w:r>
                    <w:rPr>
                      <w:rFonts w:ascii="Arial" w:hAnsi="Arial"/>
                      <w:sz w:val="21"/>
                    </w:rPr>
                    <w:t>People think less of someone who is unable to work because of sickle cell.</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5</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3</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2</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1</w:t>
                  </w:r>
                </w:p>
              </w:tc>
            </w:tr>
            <w:t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rPr>
                      <w:rFonts w:ascii="Arial" w:hAnsi="Arial"/>
                      <w:sz w:val="21"/>
                    </w:rPr>
                  </w:pPr>
                  <w:r>
                    <w:rPr>
                      <w:rFonts w:ascii="Arial" w:hAnsi="Arial"/>
                      <w:sz w:val="21"/>
                    </w:rPr>
                    <w:t>8.</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rPr>
                      <w:rFonts w:ascii="Arial" w:hAnsi="Arial"/>
                      <w:sz w:val="21"/>
                    </w:rPr>
                  </w:pPr>
                  <w:r>
                    <w:rPr>
                      <w:rFonts w:ascii="Arial" w:hAnsi="Arial"/>
                      <w:sz w:val="21"/>
                    </w:rPr>
                    <w:t>People believe that having sickle cell pain is a sign of weakness.</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5</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3</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2</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1</w:t>
                  </w:r>
                </w:p>
              </w:tc>
            </w:tr>
            <w:t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rPr>
                      <w:rFonts w:ascii="Arial" w:hAnsi="Arial"/>
                      <w:sz w:val="21"/>
                    </w:rPr>
                  </w:pPr>
                  <w:r>
                    <w:rPr>
                      <w:rFonts w:ascii="Arial" w:hAnsi="Arial"/>
                      <w:sz w:val="21"/>
                    </w:rPr>
                    <w:t>9.</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rPr>
                      <w:rFonts w:ascii="Arial" w:hAnsi="Arial"/>
                      <w:sz w:val="21"/>
                    </w:rPr>
                  </w:pPr>
                  <w:r>
                    <w:rPr>
                      <w:rFonts w:ascii="Arial" w:hAnsi="Arial"/>
                      <w:sz w:val="21"/>
                    </w:rPr>
                    <w:t>People think that someone taking prescription pain medication on a regular basis is a "drug addict".</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5</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3</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2</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1</w:t>
                  </w:r>
                </w:p>
              </w:tc>
            </w:tr>
            <w:t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rPr>
                      <w:rFonts w:ascii="Arial" w:hAnsi="Arial"/>
                      <w:sz w:val="21"/>
                    </w:rPr>
                  </w:pPr>
                  <w:r>
                    <w:rPr>
                      <w:rFonts w:ascii="Arial" w:hAnsi="Arial"/>
                      <w:sz w:val="21"/>
                    </w:rPr>
                    <w:t>10.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rPr>
                      <w:rFonts w:ascii="Arial" w:hAnsi="Arial"/>
                      <w:sz w:val="21"/>
                    </w:rPr>
                  </w:pPr>
                  <w:r>
                    <w:rPr>
                      <w:rFonts w:ascii="Arial" w:hAnsi="Arial"/>
                      <w:sz w:val="21"/>
                    </w:rPr>
                    <w:t>When people hear that someone has sickle cell pain, they think that person is also likely to have mental or emotional problems.</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5</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3</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2</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1</w:t>
                  </w:r>
                </w:p>
              </w:tc>
            </w:tr>
          </w:tbl>
          <w:p>
            <w:pPr>
              <w:spacing w:before="240" w:after="240"/>
              <w:ind w:left="0" w:right="0"/>
              <w:rPr>
                <w:rFonts w:ascii="Arial" w:hAnsi="Arial"/>
                <w:sz w:val="21"/>
              </w:rPr>
            </w:pPr>
          </w:p>
          <w:p>
            <w:pPr>
              <w:spacing w:before="240" w:after="240"/>
              <w:ind w:left="0" w:right="0"/>
              <w:rPr>
                <w:rFonts w:ascii="Arial" w:hAnsi="Arial"/>
                <w:sz w:val="21"/>
              </w:rPr>
            </w:pPr>
            <w:r>
              <w:rPr>
                <w:rFonts w:ascii="Arial" w:hAnsi="Arial"/>
                <w:b w:val="1"/>
                <w:sz w:val="21"/>
              </w:rPr>
              <w:t>In the following 10 statements, the word "</w:t>
            </w:r>
            <w:r>
              <w:rPr>
                <w:rFonts w:ascii="Arial" w:hAnsi="Arial"/>
                <w:b w:val="1"/>
                <w:sz w:val="21"/>
                <w:u w:val="single"/>
              </w:rPr>
              <w:t>doctor</w:t>
            </w:r>
            <w:r>
              <w:rPr>
                <w:rFonts w:ascii="Arial" w:hAnsi="Arial"/>
                <w:b w:val="1"/>
                <w:sz w:val="21"/>
              </w:rPr>
              <w:t>" refers to all of the doctors you have seen for sickle cell pain.</w:t>
            </w:r>
          </w:p>
          <w:p>
            <w:pPr>
              <w:spacing w:before="240" w:after="240"/>
              <w:ind w:left="0" w:right="0"/>
              <w:rPr>
                <w:rFonts w:ascii="Arial" w:hAnsi="Arial"/>
                <w:sz w:val="21"/>
              </w:rPr>
            </w:pPr>
            <w:r>
              <w:rPr>
                <w:rFonts w:ascii="Arial" w:hAnsi="Arial"/>
                <w:sz w:val="21"/>
              </w:rPr>
              <w:t>5 = Strongly Agree</w:t>
              <w:br w:type="textWrapping"/>
              <w:t>4 = Somewhat Agree</w:t>
              <w:br w:type="textWrapping"/>
              <w:t>3 = Neutral</w:t>
              <w:br w:type="textWrapping"/>
              <w:t>2 = Somewhat Disagree</w:t>
              <w:br w:type="textWrapping"/>
              <w:t>1 = Strongly Disagree</w:t>
            </w:r>
          </w:p>
          <w:tbl>
            <w:tblPr>
              <w:tblW w:w="0" w:type="auto"/>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none" w:sz="0" w:space="0" w:shadow="0" w:frame="0"/>
                <w:insideV w:val="none" w:sz="0" w:space="0" w:shadow="0" w:frame="0"/>
              </w:tblBorders>
              <w:tblCellMar>
                <w:top w:w="15" w:type="dxa"/>
                <w:left w:w="15" w:type="dxa"/>
                <w:bottom w:w="15" w:type="dxa"/>
                <w:right w:w="15" w:type="dxa"/>
              </w:tblCellMar>
            </w:tblPr>
            <w:tblGrid/>
            <w:t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rPr>
                      <w:rFonts w:ascii="Arial" w:hAnsi="Arial"/>
                      <w:sz w:val="21"/>
                    </w:rPr>
                  </w:pPr>
                  <w:r>
                    <w:rPr>
                      <w:rFonts w:ascii="Arial" w:hAnsi="Arial"/>
                      <w:sz w:val="21"/>
                    </w:rPr>
                    <w:t>1.*</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rPr>
                      <w:rFonts w:ascii="Arial" w:hAnsi="Arial"/>
                      <w:sz w:val="21"/>
                    </w:rPr>
                  </w:pPr>
                  <w:r>
                    <w:rPr>
                      <w:rFonts w:ascii="Arial" w:hAnsi="Arial"/>
                      <w:sz w:val="21"/>
                    </w:rPr>
                    <w:t>Most doctors believe that there is a real physical cause for sickle cell pain.</w:t>
                  </w:r>
                </w:p>
              </w:tc>
              <w:tc>
                <w:tcPr>
                  <w:tcW w:w="250" w:type="pct"/>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5</w:t>
                  </w:r>
                </w:p>
              </w:tc>
              <w:tc>
                <w:tcPr>
                  <w:tcW w:w="250" w:type="pct"/>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4</w:t>
                  </w:r>
                </w:p>
              </w:tc>
              <w:tc>
                <w:tcPr>
                  <w:tcW w:w="250" w:type="pct"/>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3</w:t>
                  </w:r>
                </w:p>
              </w:tc>
              <w:tc>
                <w:tcPr>
                  <w:tcW w:w="250" w:type="pct"/>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2</w:t>
                  </w:r>
                </w:p>
              </w:tc>
              <w:tc>
                <w:tcPr>
                  <w:tcW w:w="250" w:type="pct"/>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1</w:t>
                  </w:r>
                </w:p>
              </w:tc>
            </w:tr>
            <w:t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rPr>
                      <w:rFonts w:ascii="Arial" w:hAnsi="Arial"/>
                      <w:sz w:val="21"/>
                    </w:rPr>
                  </w:pPr>
                  <w:r>
                    <w:rPr>
                      <w:rFonts w:ascii="Arial" w:hAnsi="Arial"/>
                      <w:sz w:val="21"/>
                    </w:rPr>
                    <w:t>2.</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rPr>
                      <w:rFonts w:ascii="Arial" w:hAnsi="Arial"/>
                      <w:sz w:val="21"/>
                    </w:rPr>
                  </w:pPr>
                  <w:r>
                    <w:rPr>
                      <w:rFonts w:ascii="Arial" w:hAnsi="Arial"/>
                      <w:sz w:val="21"/>
                    </w:rPr>
                    <w:t>Doctors think that people with sickle cell exaggerate their pain.</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5</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3</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2</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1</w:t>
                  </w:r>
                </w:p>
              </w:tc>
            </w:tr>
            <w:t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rPr>
                      <w:rFonts w:ascii="Arial" w:hAnsi="Arial"/>
                      <w:sz w:val="21"/>
                    </w:rPr>
                  </w:pPr>
                  <w:r>
                    <w:rPr>
                      <w:rFonts w:ascii="Arial" w:hAnsi="Arial"/>
                      <w:sz w:val="21"/>
                    </w:rPr>
                    <w:t>3.</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rPr>
                      <w:rFonts w:ascii="Arial" w:hAnsi="Arial"/>
                      <w:sz w:val="21"/>
                    </w:rPr>
                  </w:pPr>
                  <w:r>
                    <w:rPr>
                      <w:rFonts w:ascii="Arial" w:hAnsi="Arial"/>
                      <w:sz w:val="21"/>
                    </w:rPr>
                    <w:t>Many doctors think that people with sickle cell pain want more pain medication than is necessary for their physical pain.</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5</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3</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2</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1</w:t>
                  </w:r>
                </w:p>
              </w:tc>
            </w:tr>
            <w:t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rPr>
                      <w:rFonts w:ascii="Arial" w:hAnsi="Arial"/>
                      <w:sz w:val="21"/>
                    </w:rPr>
                  </w:pPr>
                  <w:r>
                    <w:rPr>
                      <w:rFonts w:ascii="Arial" w:hAnsi="Arial"/>
                      <w:sz w:val="21"/>
                    </w:rPr>
                    <w:t>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rPr>
                      <w:rFonts w:ascii="Arial" w:hAnsi="Arial"/>
                      <w:sz w:val="21"/>
                    </w:rPr>
                  </w:pPr>
                  <w:r>
                    <w:rPr>
                      <w:rFonts w:ascii="Arial" w:hAnsi="Arial"/>
                      <w:sz w:val="21"/>
                    </w:rPr>
                    <w:t>Doctors think that sickle cell pain is mostly a mental or emotional problem.</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5</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3</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2</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1</w:t>
                  </w:r>
                </w:p>
              </w:tc>
            </w:tr>
            <w:t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rPr>
                      <w:rFonts w:ascii="Arial" w:hAnsi="Arial"/>
                      <w:sz w:val="21"/>
                    </w:rPr>
                  </w:pPr>
                  <w:r>
                    <w:rPr>
                      <w:rFonts w:ascii="Arial" w:hAnsi="Arial"/>
                      <w:sz w:val="21"/>
                    </w:rPr>
                    <w:t>5.*</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rPr>
                      <w:rFonts w:ascii="Arial" w:hAnsi="Arial"/>
                      <w:sz w:val="21"/>
                    </w:rPr>
                  </w:pPr>
                  <w:r>
                    <w:rPr>
                      <w:rFonts w:ascii="Arial" w:hAnsi="Arial"/>
                      <w:sz w:val="21"/>
                    </w:rPr>
                    <w:t>Most doctors think that people with sickle cell use pain medication appropriately.</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5</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3</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2</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1</w:t>
                  </w:r>
                </w:p>
              </w:tc>
            </w:tr>
            <w:t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rPr>
                      <w:rFonts w:ascii="Arial" w:hAnsi="Arial"/>
                      <w:sz w:val="21"/>
                    </w:rPr>
                  </w:pPr>
                  <w:r>
                    <w:rPr>
                      <w:rFonts w:ascii="Arial" w:hAnsi="Arial"/>
                      <w:sz w:val="21"/>
                    </w:rPr>
                    <w:t>6.*</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rPr>
                      <w:rFonts w:ascii="Arial" w:hAnsi="Arial"/>
                      <w:sz w:val="21"/>
                    </w:rPr>
                  </w:pPr>
                  <w:r>
                    <w:rPr>
                      <w:rFonts w:ascii="Arial" w:hAnsi="Arial"/>
                      <w:sz w:val="21"/>
                    </w:rPr>
                    <w:t>Most doctors think that people with sickle cell complain about their illness about as much as people with other medical conditions.</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5</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3</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2</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1</w:t>
                  </w:r>
                </w:p>
              </w:tc>
            </w:tr>
            <w:t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rPr>
                      <w:rFonts w:ascii="Arial" w:hAnsi="Arial"/>
                      <w:sz w:val="21"/>
                    </w:rPr>
                  </w:pPr>
                  <w:r>
                    <w:rPr>
                      <w:rFonts w:ascii="Arial" w:hAnsi="Arial"/>
                      <w:sz w:val="21"/>
                    </w:rPr>
                    <w:t>7.</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rPr>
                      <w:rFonts w:ascii="Arial" w:hAnsi="Arial"/>
                      <w:sz w:val="21"/>
                    </w:rPr>
                  </w:pPr>
                  <w:r>
                    <w:rPr>
                      <w:rFonts w:ascii="Arial" w:hAnsi="Arial"/>
                      <w:sz w:val="21"/>
                    </w:rPr>
                    <w:t>Many doctors believe that people with sickle cell could be more physically active if they wanted.</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5</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3</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2</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1</w:t>
                  </w:r>
                </w:p>
              </w:tc>
            </w:tr>
            <w:t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rPr>
                      <w:rFonts w:ascii="Arial" w:hAnsi="Arial"/>
                      <w:sz w:val="21"/>
                    </w:rPr>
                  </w:pPr>
                  <w:r>
                    <w:rPr>
                      <w:rFonts w:ascii="Arial" w:hAnsi="Arial"/>
                      <w:sz w:val="21"/>
                    </w:rPr>
                    <w:t>8.</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rPr>
                      <w:rFonts w:ascii="Arial" w:hAnsi="Arial"/>
                      <w:sz w:val="21"/>
                    </w:rPr>
                  </w:pPr>
                  <w:r>
                    <w:rPr>
                      <w:rFonts w:ascii="Arial" w:hAnsi="Arial"/>
                      <w:sz w:val="21"/>
                    </w:rPr>
                    <w:t>Many doctors think that people with sickle cell are less emotionally stable than people with other medical problems.</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5</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3</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2</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1</w:t>
                  </w:r>
                </w:p>
              </w:tc>
            </w:tr>
            <w:t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rPr>
                      <w:rFonts w:ascii="Arial" w:hAnsi="Arial"/>
                      <w:sz w:val="21"/>
                    </w:rPr>
                  </w:pPr>
                  <w:r>
                    <w:rPr>
                      <w:rFonts w:ascii="Arial" w:hAnsi="Arial"/>
                      <w:sz w:val="21"/>
                    </w:rPr>
                    <w:t>9.</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rPr>
                      <w:rFonts w:ascii="Arial" w:hAnsi="Arial"/>
                      <w:sz w:val="21"/>
                    </w:rPr>
                  </w:pPr>
                  <w:r>
                    <w:rPr>
                      <w:rFonts w:ascii="Arial" w:hAnsi="Arial"/>
                      <w:sz w:val="21"/>
                    </w:rPr>
                    <w:t>Many doctors think that people with sickle cell pain are "drug addicts".</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5</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3</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2</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1</w:t>
                  </w:r>
                </w:p>
              </w:tc>
            </w:tr>
            <w:t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rPr>
                      <w:rFonts w:ascii="Arial" w:hAnsi="Arial"/>
                      <w:sz w:val="21"/>
                    </w:rPr>
                  </w:pPr>
                  <w:r>
                    <w:rPr>
                      <w:rFonts w:ascii="Arial" w:hAnsi="Arial"/>
                      <w:sz w:val="21"/>
                    </w:rPr>
                    <w:t>10.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rPr>
                      <w:rFonts w:ascii="Arial" w:hAnsi="Arial"/>
                      <w:sz w:val="21"/>
                    </w:rPr>
                  </w:pPr>
                  <w:r>
                    <w:rPr>
                      <w:rFonts w:ascii="Arial" w:hAnsi="Arial"/>
                      <w:sz w:val="21"/>
                    </w:rPr>
                    <w:t>Most doctors would prefer not to treat people with sickle cell disease.</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5</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3</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2</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1</w:t>
                  </w:r>
                </w:p>
              </w:tc>
            </w:tr>
          </w:tbl>
          <w:p>
            <w:pPr>
              <w:spacing w:before="240" w:after="240"/>
              <w:ind w:left="0" w:right="0"/>
              <w:rPr>
                <w:rFonts w:ascii="Arial" w:hAnsi="Arial"/>
                <w:sz w:val="21"/>
              </w:rPr>
            </w:pPr>
          </w:p>
          <w:p>
            <w:pPr>
              <w:spacing w:before="240" w:after="240"/>
              <w:ind w:left="0" w:right="0"/>
              <w:rPr>
                <w:rFonts w:ascii="Arial" w:hAnsi="Arial"/>
                <w:sz w:val="21"/>
              </w:rPr>
            </w:pPr>
            <w:r>
              <w:rPr>
                <w:rFonts w:ascii="Arial" w:hAnsi="Arial"/>
                <w:b w:val="1"/>
                <w:sz w:val="21"/>
              </w:rPr>
              <w:t>In the following 10 statements, the word "</w:t>
            </w:r>
            <w:r>
              <w:rPr>
                <w:rFonts w:ascii="Arial" w:hAnsi="Arial"/>
                <w:b w:val="1"/>
                <w:sz w:val="21"/>
                <w:u w:val="single"/>
              </w:rPr>
              <w:t>family</w:t>
            </w:r>
            <w:r>
              <w:rPr>
                <w:rFonts w:ascii="Arial" w:hAnsi="Arial"/>
                <w:b w:val="1"/>
                <w:sz w:val="21"/>
              </w:rPr>
              <w:t>" refers to the people who are most important and significant to you.</w:t>
            </w:r>
          </w:p>
          <w:p>
            <w:pPr>
              <w:spacing w:before="240" w:after="240"/>
              <w:ind w:left="0" w:right="0"/>
              <w:rPr>
                <w:rFonts w:ascii="Arial" w:hAnsi="Arial"/>
                <w:sz w:val="21"/>
              </w:rPr>
            </w:pPr>
            <w:r>
              <w:rPr>
                <w:rFonts w:ascii="Arial" w:hAnsi="Arial"/>
                <w:sz w:val="21"/>
              </w:rPr>
              <w:t>5 = Strongly Agree</w:t>
              <w:br w:type="textWrapping"/>
              <w:t>4 = Somewhat Agree</w:t>
              <w:br w:type="textWrapping"/>
              <w:t>3 = Neutral</w:t>
              <w:br w:type="textWrapping"/>
              <w:t>2 = Somewhat Disagree</w:t>
              <w:br w:type="textWrapping"/>
              <w:t>1 = Strongly Disagree</w:t>
            </w:r>
          </w:p>
          <w:tbl>
            <w:tblPr>
              <w:tblW w:w="0" w:type="auto"/>
              <w:tblInd w:w="0" w:type="dxa"/>
              <w:tblBorders>
                <w:top w:val="nil" w:sz="0" w:space="0" w:shadow="0" w:frame="0" w:color="000000"/>
                <w:left w:val="nil" w:sz="0" w:space="0" w:shadow="0" w:frame="0" w:color="000000"/>
                <w:bottom w:val="nil" w:sz="0" w:space="0" w:shadow="0" w:frame="0" w:color="000000"/>
                <w:right w:val="nil" w:sz="0" w:space="0" w:shadow="0" w:frame="0" w:color="000000"/>
                <w:insideH w:val="none" w:sz="0" w:space="0" w:shadow="0" w:frame="0"/>
                <w:insideV w:val="none" w:sz="0" w:space="0" w:shadow="0" w:frame="0"/>
              </w:tblBorders>
              <w:tblCellMar>
                <w:top w:w="15" w:type="dxa"/>
                <w:left w:w="15" w:type="dxa"/>
                <w:bottom w:w="15" w:type="dxa"/>
                <w:right w:w="15" w:type="dxa"/>
              </w:tblCellMar>
            </w:tblPr>
            <w:tblGrid/>
            <w:tr>
              <w:trPr>
                <w:trHeight w:hRule="atLeast" w:val="432"/>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rPr>
                      <w:rFonts w:ascii="Arial" w:hAnsi="Arial"/>
                      <w:sz w:val="21"/>
                    </w:rPr>
                  </w:pPr>
                  <w:r>
                    <w:rPr>
                      <w:rFonts w:ascii="Arial" w:hAnsi="Arial"/>
                      <w:sz w:val="21"/>
                    </w:rPr>
                    <w:t>1.*</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rPr>
                      <w:rFonts w:ascii="Arial" w:hAnsi="Arial"/>
                      <w:sz w:val="21"/>
                    </w:rPr>
                  </w:pPr>
                  <w:r>
                    <w:rPr>
                      <w:rFonts w:ascii="Arial" w:hAnsi="Arial"/>
                      <w:sz w:val="21"/>
                    </w:rPr>
                    <w:t>My family understands that I have physical pain.</w:t>
                  </w:r>
                </w:p>
              </w:tc>
              <w:tc>
                <w:tcPr>
                  <w:tcW w:w="250" w:type="pct"/>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5</w:t>
                  </w:r>
                </w:p>
              </w:tc>
              <w:tc>
                <w:tcPr>
                  <w:tcW w:w="250" w:type="pct"/>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4</w:t>
                  </w:r>
                </w:p>
              </w:tc>
              <w:tc>
                <w:tcPr>
                  <w:tcW w:w="250" w:type="pct"/>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3</w:t>
                  </w:r>
                </w:p>
              </w:tc>
              <w:tc>
                <w:tcPr>
                  <w:tcW w:w="250" w:type="pct"/>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2</w:t>
                  </w:r>
                </w:p>
              </w:tc>
              <w:tc>
                <w:tcPr>
                  <w:tcW w:w="250" w:type="pct"/>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1</w:t>
                  </w:r>
                </w:p>
              </w:tc>
            </w:tr>
            <w:t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rPr>
                      <w:rFonts w:ascii="Arial" w:hAnsi="Arial"/>
                      <w:sz w:val="21"/>
                    </w:rPr>
                  </w:pPr>
                  <w:r>
                    <w:rPr>
                      <w:rFonts w:ascii="Arial" w:hAnsi="Arial"/>
                      <w:sz w:val="21"/>
                    </w:rPr>
                    <w:t>2.</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rPr>
                      <w:rFonts w:ascii="Arial" w:hAnsi="Arial"/>
                      <w:sz w:val="21"/>
                    </w:rPr>
                  </w:pPr>
                  <w:r>
                    <w:rPr>
                      <w:rFonts w:ascii="Arial" w:hAnsi="Arial"/>
                      <w:sz w:val="21"/>
                    </w:rPr>
                    <w:t>My family thinks I need less pain medication than I take.</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5</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3</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2</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1</w:t>
                  </w:r>
                </w:p>
              </w:tc>
            </w:tr>
            <w:t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rPr>
                      <w:rFonts w:ascii="Arial" w:hAnsi="Arial"/>
                      <w:sz w:val="21"/>
                    </w:rPr>
                  </w:pPr>
                  <w:r>
                    <w:rPr>
                      <w:rFonts w:ascii="Arial" w:hAnsi="Arial"/>
                      <w:sz w:val="21"/>
                    </w:rPr>
                    <w:t>3.</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rPr>
                      <w:rFonts w:ascii="Arial" w:hAnsi="Arial"/>
                      <w:sz w:val="21"/>
                    </w:rPr>
                  </w:pPr>
                  <w:r>
                    <w:rPr>
                      <w:rFonts w:ascii="Arial" w:hAnsi="Arial"/>
                      <w:sz w:val="21"/>
                    </w:rPr>
                    <w:t>My family feels that I exaggerate how much I hurt in order to get out of doing things that I dont want to do.</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5</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3</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2</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1</w:t>
                  </w:r>
                </w:p>
              </w:tc>
            </w:tr>
            <w:tr>
              <w:trPr>
                <w:trHeight w:hRule="atLeast" w:val="288"/>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rPr>
                      <w:rFonts w:ascii="Arial" w:hAnsi="Arial"/>
                      <w:sz w:val="21"/>
                    </w:rPr>
                  </w:pPr>
                  <w:r>
                    <w:rPr>
                      <w:rFonts w:ascii="Arial" w:hAnsi="Arial"/>
                      <w:sz w:val="21"/>
                    </w:rPr>
                    <w:t>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rPr>
                      <w:rFonts w:ascii="Arial" w:hAnsi="Arial"/>
                      <w:sz w:val="21"/>
                    </w:rPr>
                  </w:pPr>
                  <w:r>
                    <w:rPr>
                      <w:rFonts w:ascii="Arial" w:hAnsi="Arial"/>
                      <w:sz w:val="21"/>
                    </w:rPr>
                    <w:t>My family understands that I can use only as much pain medication as is medically necessary.</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5</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3</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2</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1</w:t>
                  </w:r>
                </w:p>
              </w:tc>
            </w:tr>
            <w:t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rPr>
                      <w:rFonts w:ascii="Arial" w:hAnsi="Arial"/>
                      <w:sz w:val="21"/>
                    </w:rPr>
                  </w:pPr>
                  <w:r>
                    <w:rPr>
                      <w:rFonts w:ascii="Arial" w:hAnsi="Arial"/>
                      <w:sz w:val="21"/>
                    </w:rPr>
                    <w:t>5.</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rPr>
                      <w:rFonts w:ascii="Arial" w:hAnsi="Arial"/>
                      <w:sz w:val="21"/>
                    </w:rPr>
                  </w:pPr>
                  <w:r>
                    <w:rPr>
                      <w:rFonts w:ascii="Arial" w:hAnsi="Arial"/>
                      <w:sz w:val="21"/>
                    </w:rPr>
                    <w:t>My family thinks that I could be more physically active if I wanted.</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5</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3</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2</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1</w:t>
                  </w:r>
                </w:p>
              </w:tc>
            </w:tr>
            <w:t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rPr>
                      <w:rFonts w:ascii="Arial" w:hAnsi="Arial"/>
                      <w:sz w:val="21"/>
                    </w:rPr>
                  </w:pPr>
                  <w:r>
                    <w:rPr>
                      <w:rFonts w:ascii="Arial" w:hAnsi="Arial"/>
                      <w:sz w:val="21"/>
                    </w:rPr>
                    <w:t>6.</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rPr>
                      <w:rFonts w:ascii="Arial" w:hAnsi="Arial"/>
                      <w:sz w:val="21"/>
                    </w:rPr>
                  </w:pPr>
                  <w:r>
                    <w:rPr>
                      <w:rFonts w:ascii="Arial" w:hAnsi="Arial"/>
                      <w:sz w:val="21"/>
                    </w:rPr>
                    <w:t>My family thinks that by taking pain medication on a regular basis, I have become a "drug addict".</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5</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3</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2</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1</w:t>
                  </w:r>
                </w:p>
              </w:tc>
            </w:tr>
            <w:t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rPr>
                      <w:rFonts w:ascii="Arial" w:hAnsi="Arial"/>
                      <w:sz w:val="21"/>
                    </w:rPr>
                  </w:pPr>
                  <w:r>
                    <w:rPr>
                      <w:rFonts w:ascii="Arial" w:hAnsi="Arial"/>
                      <w:sz w:val="21"/>
                    </w:rPr>
                    <w:t>7.*</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rPr>
                      <w:rFonts w:ascii="Arial" w:hAnsi="Arial"/>
                      <w:sz w:val="21"/>
                    </w:rPr>
                  </w:pPr>
                  <w:r>
                    <w:rPr>
                      <w:rFonts w:ascii="Arial" w:hAnsi="Arial"/>
                      <w:sz w:val="21"/>
                    </w:rPr>
                    <w:t>My family understands that sickle cell is a real medical condition.</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5</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3</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2</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1</w:t>
                  </w:r>
                </w:p>
              </w:tc>
            </w:tr>
            <w:t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rPr>
                      <w:rFonts w:ascii="Arial" w:hAnsi="Arial"/>
                      <w:sz w:val="21"/>
                    </w:rPr>
                  </w:pPr>
                  <w:r>
                    <w:rPr>
                      <w:rFonts w:ascii="Arial" w:hAnsi="Arial"/>
                      <w:sz w:val="21"/>
                    </w:rPr>
                    <w:t>8.</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rPr>
                      <w:rFonts w:ascii="Arial" w:hAnsi="Arial"/>
                      <w:sz w:val="21"/>
                    </w:rPr>
                  </w:pPr>
                  <w:r>
                    <w:rPr>
                      <w:rFonts w:ascii="Arial" w:hAnsi="Arial"/>
                      <w:sz w:val="21"/>
                    </w:rPr>
                    <w:t>I feel that my family has less respect for me since I have sickle cell.</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5</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3</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2</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1</w:t>
                  </w:r>
                </w:p>
              </w:tc>
            </w:tr>
            <w:t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rPr>
                      <w:rFonts w:ascii="Arial" w:hAnsi="Arial"/>
                      <w:sz w:val="21"/>
                    </w:rPr>
                  </w:pPr>
                  <w:r>
                    <w:rPr>
                      <w:rFonts w:ascii="Arial" w:hAnsi="Arial"/>
                      <w:sz w:val="21"/>
                    </w:rPr>
                    <w:t>9.</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rPr>
                      <w:rFonts w:ascii="Arial" w:hAnsi="Arial"/>
                      <w:sz w:val="21"/>
                    </w:rPr>
                  </w:pPr>
                  <w:r>
                    <w:rPr>
                      <w:rFonts w:ascii="Arial" w:hAnsi="Arial"/>
                      <w:sz w:val="21"/>
                    </w:rPr>
                    <w:t>My family thinks that sickle cell pain is more of a mental or emotional problem than a physical problem.</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5</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3</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2</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1</w:t>
                  </w:r>
                </w:p>
              </w:tc>
            </w:tr>
            <w:t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rPr>
                      <w:rFonts w:ascii="Arial" w:hAnsi="Arial"/>
                      <w:sz w:val="21"/>
                    </w:rPr>
                  </w:pPr>
                  <w:r>
                    <w:rPr>
                      <w:rFonts w:ascii="Arial" w:hAnsi="Arial"/>
                      <w:sz w:val="21"/>
                    </w:rPr>
                    <w:t>10.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rPr>
                      <w:rFonts w:ascii="Arial" w:hAnsi="Arial"/>
                      <w:sz w:val="21"/>
                    </w:rPr>
                  </w:pPr>
                  <w:r>
                    <w:rPr>
                      <w:rFonts w:ascii="Arial" w:hAnsi="Arial"/>
                      <w:sz w:val="21"/>
                    </w:rPr>
                    <w:t>My family feels embarrassed to tell people that I have sickle cell.</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5</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3</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2</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spacing w:before="240" w:after="240"/>
                    <w:ind w:left="0" w:right="0"/>
                    <w:jc w:val="center"/>
                    <w:rPr>
                      <w:rFonts w:ascii="Arial" w:hAnsi="Arial"/>
                      <w:sz w:val="21"/>
                    </w:rPr>
                  </w:pPr>
                  <w:r>
                    <w:rPr>
                      <w:rFonts w:ascii="Arial" w:hAnsi="Arial"/>
                      <w:sz w:val="21"/>
                    </w:rPr>
                    <w:t>1</w:t>
                  </w:r>
                </w:p>
              </w:tc>
            </w:tr>
          </w:tbl>
          <w:p>
            <w:pPr>
              <w:spacing w:before="240" w:after="240"/>
              <w:ind w:left="0" w:right="0"/>
              <w:rPr>
                <w:rFonts w:ascii="Arial" w:hAnsi="Arial"/>
                <w:sz w:val="21"/>
              </w:rPr>
            </w:pPr>
          </w:p>
          <w:p>
            <w:pPr>
              <w:spacing w:before="240" w:after="240"/>
              <w:ind w:left="0" w:right="0"/>
              <w:rPr>
                <w:rFonts w:ascii="Arial" w:hAnsi="Arial"/>
                <w:sz w:val="21"/>
              </w:rPr>
            </w:pPr>
            <w:r>
              <w:rPr>
                <w:rFonts w:ascii="Arial" w:hAnsi="Arial"/>
                <w:sz w:val="21"/>
              </w:rPr>
              <w:t>Scoring: Each subscale score is the sum of the 10 items in the subscale scale. Be sure to use recoded items in scoring (Range: 10-50). Items to be reverse coded are marked with an asterisk (*).</w:t>
            </w:r>
          </w:p>
          <w:p>
            <w:pPr>
              <w:spacing w:before="240" w:after="240"/>
              <w:ind w:left="0" w:right="0"/>
              <w:rPr>
                <w:rFonts w:ascii="Arial" w:hAnsi="Arial"/>
                <w:sz w:val="21"/>
              </w:rPr>
            </w:pPr>
            <w:r>
              <w:rPr>
                <w:rFonts w:ascii="Arial" w:hAnsi="Arial"/>
                <w:sz w:val="21"/>
              </w:rPr>
              <w:t>The total score is the sum of all four subscale scores (Range: 40-200). Higher total Sickle Cell Disease Health-Related Stigma Scale (SCD-HRSS) total scores or subscale scores indicate higher levels of perceived stigma.</w:t>
            </w:r>
          </w:p>
        </w:tc>
      </w:tr>
      <w:tr>
        <w:tc>
          <w:tcPr>
            <w:tcW w:w="1000" w:type="pct"/>
            <w:vAlign w:val="center"/>
          </w:tcPr>
          <w:p>
            <w:pPr>
              <w:spacing w:before="240" w:after="240"/>
              <w:ind w:left="0" w:right="0"/>
              <w:rPr>
                <w:rFonts w:ascii="Arial" w:hAnsi="Arial"/>
                <w:sz w:val="21"/>
              </w:rPr>
            </w:pPr>
            <w:r>
              <w:rPr>
                <w:rFonts w:ascii="Arial" w:hAnsi="Arial"/>
                <w:b w:val="1"/>
                <w:sz w:val="21"/>
              </w:rPr>
              <w:t>Selection Rationale:</w:t>
            </w:r>
          </w:p>
        </w:tc>
        <w:tc>
          <w:tcPr>
            <w:tcW w:w="0" w:type="auto"/>
            <w:vAlign w:val="center"/>
          </w:tcPr>
          <w:p>
            <w:pPr>
              <w:spacing w:before="240" w:after="240"/>
              <w:ind w:left="0" w:right="0"/>
              <w:rPr>
                <w:rFonts w:ascii="Arial" w:hAnsi="Arial"/>
                <w:sz w:val="21"/>
              </w:rPr>
            </w:pPr>
            <w:r>
              <w:rPr>
                <w:rFonts w:ascii="Arial" w:hAnsi="Arial"/>
                <w:sz w:val="21"/>
              </w:rPr>
              <w:t>The Sickle Cell Disease Health-Related Stigma Scale (SCD-HRSS) is a standardized, reliable, and valid instrument used to collect information about external sources of stigma experienced by patient populations with sickle cell disease due to their health-related condition.</w:t>
            </w:r>
          </w:p>
        </w:tc>
      </w:tr>
      <w:tr>
        <w:tc>
          <w:tcPr>
            <w:tcW w:w="1000" w:type="pct"/>
            <w:vAlign w:val="center"/>
          </w:tcPr>
          <w:p>
            <w:pPr>
              <w:spacing w:before="240" w:after="240"/>
              <w:ind w:left="0" w:right="0"/>
              <w:rPr>
                <w:rFonts w:ascii="Arial" w:hAnsi="Arial"/>
                <w:sz w:val="21"/>
              </w:rPr>
            </w:pPr>
            <w:r>
              <w:rPr>
                <w:rFonts w:ascii="Arial" w:hAnsi="Arial"/>
                <w:b w:val="1"/>
                <w:sz w:val="21"/>
              </w:rPr>
              <w:t>Source:</w:t>
            </w:r>
          </w:p>
        </w:tc>
        <w:tc>
          <w:tcPr>
            <w:tcW w:w="0" w:type="auto"/>
            <w:vAlign w:val="center"/>
          </w:tcPr>
          <w:p>
            <w:pPr>
              <w:spacing w:before="240" w:after="240"/>
              <w:ind w:left="0" w:right="0"/>
              <w:rPr>
                <w:rFonts w:ascii="Arial" w:hAnsi="Arial"/>
                <w:sz w:val="21"/>
              </w:rPr>
            </w:pPr>
            <w:r>
              <w:rPr>
                <w:rFonts w:ascii="Arial" w:hAnsi="Arial"/>
                <w:sz w:val="21"/>
              </w:rPr>
              <w:t>Jenerette, C., O'Brien, J., Jaja, C., Carvalho, E. S. S., Brewer, C., &amp; Hickman, R. L., Jr (2022). Psychometrics of the Sickle Cell Disease Health-Related Stigma Scale-Short Form. Western journal of nursing research, 1939459221142164. Advance online publication. doi:10.1177/01939459221142164</w:t>
            </w:r>
          </w:p>
        </w:tc>
      </w:tr>
      <w:tr>
        <w:tc>
          <w:tcPr>
            <w:tcW w:w="1000" w:type="pct"/>
            <w:vAlign w:val="center"/>
          </w:tcPr>
          <w:p>
            <w:pPr>
              <w:spacing w:before="240" w:after="240"/>
              <w:ind w:left="0" w:right="0"/>
              <w:rPr>
                <w:rFonts w:ascii="Arial" w:hAnsi="Arial"/>
                <w:sz w:val="21"/>
              </w:rPr>
            </w:pPr>
            <w:r>
              <w:rPr>
                <w:rFonts w:ascii="Arial" w:hAnsi="Arial"/>
                <w:b w:val="1"/>
                <w:sz w:val="21"/>
              </w:rPr>
              <w:t>Language</w:t>
            </w:r>
          </w:p>
        </w:tc>
        <w:tc>
          <w:tcPr>
            <w:tcW w:w="0" w:type="auto"/>
            <w:vAlign w:val="center"/>
          </w:tcPr>
          <w:p>
            <w:pPr>
              <w:ind w:left="0" w:right="0"/>
            </w:pPr>
            <w:r>
              <w:rPr>
                <w:rFonts w:ascii="Arial" w:hAnsi="Arial"/>
                <w:sz w:val="21"/>
              </w:rPr>
              <w:t xml:space="preserve">English </w:t>
            </w:r>
          </w:p>
        </w:tc>
      </w:tr>
      <w:tr>
        <w:tc>
          <w:tcPr>
            <w:tcW w:w="1000" w:type="pct"/>
            <w:vAlign w:val="center"/>
          </w:tcPr>
          <w:p>
            <w:pPr>
              <w:spacing w:before="240" w:after="240"/>
              <w:ind w:left="0" w:right="0"/>
              <w:rPr>
                <w:rFonts w:ascii="Arial" w:hAnsi="Arial"/>
                <w:sz w:val="21"/>
              </w:rPr>
            </w:pPr>
            <w:r>
              <w:rPr>
                <w:rFonts w:ascii="Arial" w:hAnsi="Arial"/>
                <w:b w:val="1"/>
                <w:sz w:val="21"/>
              </w:rPr>
              <w:t>Participant:</w:t>
            </w:r>
          </w:p>
        </w:tc>
        <w:tc>
          <w:tcPr>
            <w:tcW w:w="0" w:type="auto"/>
            <w:vAlign w:val="center"/>
          </w:tcPr>
          <w:p>
            <w:pPr>
              <w:spacing w:before="240" w:after="240"/>
              <w:ind w:left="0" w:right="0"/>
              <w:rPr>
                <w:rFonts w:ascii="Arial" w:hAnsi="Arial"/>
                <w:sz w:val="21"/>
              </w:rPr>
            </w:pPr>
            <w:r>
              <w:rPr>
                <w:rFonts w:ascii="Arial" w:hAnsi="Arial"/>
                <w:sz w:val="21"/>
              </w:rPr>
              <w:t>Adult, adolescent with sickle cell disease</w:t>
            </w:r>
          </w:p>
        </w:tc>
      </w:tr>
      <w:tr>
        <w:tc>
          <w:tcPr>
            <w:tcW w:w="1000" w:type="pct"/>
            <w:vAlign w:val="center"/>
          </w:tcPr>
          <w:p>
            <w:pPr>
              <w:spacing w:before="240" w:after="240"/>
              <w:ind w:left="0" w:right="0"/>
              <w:rPr>
                <w:rFonts w:ascii="Arial" w:hAnsi="Arial"/>
                <w:sz w:val="21"/>
              </w:rPr>
            </w:pPr>
            <w:r>
              <w:rPr>
                <w:rFonts w:ascii="Arial" w:hAnsi="Arial"/>
                <w:b w:val="1"/>
                <w:sz w:val="21"/>
              </w:rPr>
              <w:t>Personnel and Training Required:</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Equipment Needs: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Standards</w:t>
            </w:r>
          </w:p>
        </w:tc>
        <w:tc>
          <w:tcPr>
            <w:tcW w:w="0" w:type="auto"/>
            <w:vAlign w:val="center"/>
          </w:tcPr>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General References:</w:t>
            </w:r>
          </w:p>
        </w:tc>
        <w:tc>
          <w:tcPr>
            <w:tcW w:w="0" w:type="auto"/>
            <w:vAlign w:val="center"/>
          </w:tcPr>
          <w:p>
            <w:pPr>
              <w:spacing w:before="240" w:after="240"/>
              <w:ind w:left="0" w:right="0"/>
              <w:rPr>
                <w:rFonts w:ascii="Arial" w:hAnsi="Arial"/>
                <w:sz w:val="21"/>
              </w:rPr>
            </w:pPr>
            <w:r>
              <w:rPr>
                <w:rFonts w:ascii="Arial" w:hAnsi="Arial"/>
                <w:sz w:val="21"/>
              </w:rPr>
              <w:t>Bediako, S. M., Lanzkron, S., Diener-West, M., Onojobi, G., Beach, M. C., &amp; Haywood, C. (2014). The measure of sickle cell stigma: Initial findings from the Improving Patient Outcomes through Respect and Trust study. Journal of Health Psychology, 21(2), 808-820. doi:10.1177/1359105314539530</w:t>
            </w:r>
          </w:p>
          <w:p>
            <w:pPr>
              <w:spacing w:before="240" w:after="240"/>
              <w:ind w:left="0" w:right="0"/>
              <w:rPr>
                <w:rFonts w:ascii="Arial" w:hAnsi="Arial"/>
                <w:sz w:val="21"/>
              </w:rPr>
            </w:pPr>
            <w:r>
              <w:rPr>
                <w:rFonts w:ascii="Arial" w:hAnsi="Arial"/>
                <w:sz w:val="21"/>
              </w:rPr>
              <w:t>Bulgin, D., Tanabe, P., &amp; Jenerette, C. (2018). Stigma of sickle cell disease: A systematic review, Issues in Mental Health Nursing, 39(8), 675-686. doi:10.1080/01612840.2018.1443530</w:t>
            </w:r>
          </w:p>
          <w:p>
            <w:pPr>
              <w:spacing w:before="240" w:after="240"/>
              <w:ind w:left="0" w:right="0"/>
              <w:rPr>
                <w:rFonts w:ascii="Arial" w:hAnsi="Arial"/>
                <w:sz w:val="21"/>
              </w:rPr>
            </w:pPr>
            <w:r>
              <w:rPr>
                <w:rFonts w:ascii="Arial" w:hAnsi="Arial"/>
                <w:sz w:val="21"/>
              </w:rPr>
              <w:t>Jenerette, C., Brewer, C.A., Crandell, J., &amp; Ataga, I. (2012). Preliminary validity and reliability of the Sickle Cell Disease Health-Related Stigma Scale. Issues in Mental Health Nursing, 33(6), 363-369. doi:10.3109/01612840.2012.656823</w:t>
            </w:r>
          </w:p>
        </w:tc>
      </w:tr>
      <w:tr>
        <w:tc>
          <w:tcPr>
            <w:tcW w:w="1000" w:type="pct"/>
            <w:vAlign w:val="center"/>
          </w:tcPr>
          <w:p>
            <w:pPr>
              <w:spacing w:before="240" w:after="240"/>
              <w:ind w:left="0" w:right="0"/>
              <w:rPr>
                <w:rFonts w:ascii="Arial" w:hAnsi="Arial"/>
                <w:sz w:val="21"/>
              </w:rPr>
            </w:pPr>
            <w:r>
              <w:rPr>
                <w:rFonts w:ascii="Arial" w:hAnsi="Arial"/>
                <w:b w:val="1"/>
                <w:sz w:val="21"/>
              </w:rPr>
              <w:t>Mode of Administration:</w:t>
            </w:r>
          </w:p>
        </w:tc>
        <w:tc>
          <w:tcPr>
            <w:tcW w:w="0" w:type="auto"/>
            <w:vAlign w:val="center"/>
          </w:tcPr>
          <w:p>
            <w:pPr>
              <w:ind w:left="0" w:right="0"/>
            </w:pPr>
            <w:r>
              <w:rPr>
                <w:rFonts w:ascii="Arial" w:hAnsi="Arial"/>
                <w:sz w:val="21"/>
              </w:rPr>
              <w:t xml:space="preserve">Self-administered questionnaire </w:t>
            </w:r>
          </w:p>
        </w:tc>
      </w:tr>
      <w:tr>
        <w:tc>
          <w:tcPr>
            <w:tcW w:w="1000" w:type="pct"/>
            <w:vAlign w:val="center"/>
          </w:tcPr>
          <w:p>
            <w:pPr>
              <w:spacing w:before="240" w:after="240"/>
              <w:ind w:left="0" w:right="0"/>
              <w:rPr>
                <w:rFonts w:ascii="Arial" w:hAnsi="Arial"/>
                <w:sz w:val="21"/>
              </w:rPr>
            </w:pPr>
            <w:r>
              <w:rPr>
                <w:rFonts w:ascii="Arial" w:hAnsi="Arial"/>
                <w:b w:val="1"/>
                <w:sz w:val="21"/>
              </w:rPr>
              <w:t>Derived Variables: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Requirements:</w:t>
            </w:r>
          </w:p>
        </w:tc>
        <w:tc>
          <w:tcPr>
            <w:tcW w:w="0" w:type="auto"/>
            <w:vAlign w:val="center"/>
          </w:tcPr>
          <w:tbl>
            <w:tblPr>
              <w:tblW w:w="0" w:type="auto"/>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vAlign w:val="center"/>
                </w:tcPr>
                <w:p>
                  <w:pPr>
                    <w:spacing w:before="240" w:after="240"/>
                    <w:ind w:left="0" w:right="0"/>
                    <w:rPr>
                      <w:rFonts w:ascii="Arial" w:hAnsi="Arial"/>
                      <w:sz w:val="21"/>
                    </w:rPr>
                  </w:pPr>
                  <w:r>
                    <w:rPr>
                      <w:rFonts w:ascii="Arial" w:hAnsi="Arial"/>
                      <w:b w:val="1"/>
                      <w:sz w:val="21"/>
                    </w:rPr>
                    <w:t>Requirement Category</w:t>
                  </w:r>
                </w:p>
              </w:tc>
              <w:tc>
                <w:tcPr>
                  <w:tcW w:w="0" w:type="auto"/>
                  <w:vAlign w:val="center"/>
                </w:tcPr>
                <w:p>
                  <w:pPr>
                    <w:spacing w:before="240" w:after="240"/>
                    <w:ind w:left="0" w:right="0"/>
                    <w:rPr>
                      <w:rFonts w:ascii="Arial" w:hAnsi="Arial"/>
                      <w:sz w:val="21"/>
                    </w:rPr>
                  </w:pPr>
                  <w:r>
                    <w:rPr>
                      <w:rFonts w:ascii="Arial" w:hAnsi="Arial"/>
                      <w:b w:val="1"/>
                      <w:sz w:val="21"/>
                    </w:rPr>
                    <w:t>Required (Yes/No)</w:t>
                  </w:r>
                </w:p>
              </w:tc>
            </w:tr>
            <w:tr>
              <w:tc>
                <w:tcPr>
                  <w:tcW w:w="0" w:type="auto"/>
                  <w:vAlign w:val="center"/>
                </w:tcPr>
                <w:p>
                  <w:pPr>
                    <w:spacing w:before="240" w:after="240"/>
                    <w:ind w:left="0" w:right="0"/>
                    <w:rPr>
                      <w:rFonts w:ascii="Arial" w:hAnsi="Arial"/>
                      <w:sz w:val="21"/>
                    </w:rPr>
                  </w:pPr>
                  <w:r>
                    <w:rPr>
                      <w:rFonts w:ascii="Arial" w:hAnsi="Arial"/>
                      <w:b w:val="1"/>
                      <w:sz w:val="21"/>
                    </w:rPr>
                    <w:t>Major equipment</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training</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requirements for biospecimen collection</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Average time of greater than 15 minutes in an unaffected individual</w:t>
                  </w:r>
                </w:p>
              </w:tc>
              <w:tc>
                <w:tcPr>
                  <w:tcW w:w="0" w:type="auto"/>
                  <w:vAlign w:val="center"/>
                </w:tcPr>
                <w:p>
                  <w:pPr>
                    <w:spacing w:before="240" w:after="240"/>
                    <w:ind w:left="0" w:right="0"/>
                    <w:rPr>
                      <w:rFonts w:ascii="Arial" w:hAnsi="Arial"/>
                      <w:sz w:val="21"/>
                    </w:rPr>
                  </w:pPr>
                  <w:r>
                    <w:rPr>
                      <w:rFonts w:ascii="Arial" w:hAnsi="Arial"/>
                      <w:sz w:val="21"/>
                    </w:rPr>
                    <w:t>No</w:t>
                  </w:r>
                </w:p>
              </w:tc>
            </w:tr>
          </w:tbl>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Annotations for Specific Conditions:</w:t>
            </w:r>
          </w:p>
        </w:tc>
        <w:tc>
          <w:tcPr>
            <w:tcW w:w="0" w:type="auto"/>
            <w:vAlign w:val="center"/>
          </w:tcPr>
          <w:p>
            <w:pPr>
              <w:ind w:left="0" w:right="0"/>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Process and Review:</w:t>
            </w:r>
          </w:p>
        </w:tc>
        <w:tc>
          <w:tcPr>
            <w:tcW w:w="0" w:type="auto"/>
            <w:vAlign w:val="center"/>
          </w:tcPr>
          <w:p>
            <w:pPr>
              <w:spacing w:before="240" w:after="240"/>
              <w:ind w:left="0" w:right="0"/>
              <w:rPr>
                <w:rFonts w:ascii="Arial" w:hAnsi="Arial"/>
                <w:sz w:val="21"/>
              </w:rPr>
            </w:pPr>
            <w:r>
              <w:rPr>
                <w:rFonts w:ascii="Arial" w:hAnsi="Arial"/>
                <w:sz w:val="21"/>
              </w:rPr>
              <w:t>Not applicable</w:t>
            </w:r>
          </w:p>
        </w:tc>
      </w:tr>
    </w:tbl>
    <w:p>
      <w:pPr>
        <w:spacing w:before="240" w:after="240"/>
        <w:ind w:firstLine="0" w:left="0" w:right="0"/>
      </w:pPr>
    </w:p>
    <w:sectPr>
      <w:type w:val="nextPage"/>
      <w:pgMar w:left="1700" w:right="850" w:top="1133" w:bottom="1133"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2024-09-13T20:52:11Z</dcterms:created>
  <cp:lastModifiedBy>Williams (He/Him), David</cp:lastModifiedBy>
  <dcterms:modified xsi:type="dcterms:W3CDTF">2024-09-13T20:52:11Z</dcterms:modified>
  <cp:revision>1</cp:revision>
</cp:coreProperties>
</file>