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Anthropometrics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Body Composition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sz w:val="22"/>
                <w:szCs w:val="22"/>
              </w:rPr>
            </w:pPr>
            <w:r>
              <w:rPr>
                <w:rFonts w:cs="Arial" w:ascii="Arial" w:hAnsi="Arial"/>
                <w:b/>
                <w:sz w:val="22"/>
                <w:szCs w:val="22"/>
              </w:rPr>
              <w:t>Scientific and Practical Guidance for Protocol Selection</w:t>
            </w:r>
          </w:p>
          <w:p>
            <w:pPr>
              <w:pStyle w:val="Normal"/>
              <w:spacing w:before="0" w:after="0"/>
              <w:contextualSpacing/>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Trebuchet MS" w:hAnsi="Trebuchet MS" w:cs="MyriadPro-Regular"/>
                <w:sz w:val="20"/>
                <w:szCs w:val="20"/>
              </w:rPr>
            </w:pPr>
            <w:r>
              <w:rPr>
                <w:rFonts w:cs="Trebuchet MS" w:ascii="Trebuchet MS" w:hAnsi="Trebuchet MS"/>
                <w:sz w:val="20"/>
                <w:szCs w:val="20"/>
              </w:rPr>
              <w:t xml:space="preserve">The precision with which fat mass (FM) and fat-free mass (FFM) proportions and distributions may be measured depends on several factors. For example, techniques that involve radiation exposure may not be feasible with pregnant women. Technologies that require active subject cooperation (i.e., lying still for prolonged periods) may not be feasible or may cause difficulty for infants, small children, and the developmentally disabled. In these latter cases, the advisability of sedating study subjects may be weighed against the importance of the measurement. The research facilities available (field situations, as compared with specialized laboratories) and relative costs may limit the technology used. </w:t>
            </w:r>
          </w:p>
          <w:p>
            <w:pPr>
              <w:pStyle w:val="Normal"/>
              <w:shd w:fill="FFFFFF" w:val="clear"/>
              <w:spacing w:before="280" w:after="280"/>
              <w:rPr/>
            </w:pPr>
            <w:r>
              <w:rPr>
                <w:rFonts w:cs="MyriadPro-Regular" w:ascii="Trebuchet MS" w:hAnsi="Trebuchet MS"/>
                <w:sz w:val="20"/>
                <w:szCs w:val="20"/>
              </w:rPr>
              <w:t>In addition to the basic anthropometric measurements that are useful in looking at body composition (weight, length/height, waist, and mid-upper arm circumference), skinfold thicknesses are perhaps best for estimating body composition in field situations or where cost is a factor. Although skinfold thicknesses are not as precise or measured as reliably as laboratory methods, they are generally well-tolerated by most research subjects and equations have been developed for estimating the percentage of body fat (%BF) at various ages. The sagittal abdominal diameter (SAD) is also thought to be a good predictor of visceral adiposity. Whole body bioelectrical impedance analysis (BIA) is a technique that has been used widely in clinic and field studies because most devices are fairly portable, but the validity of %BF derived from tetrapolar BIA is questionable since most built-in equations for estimating %BF using commercial devices are proprietary and have not been subject to independent validation. Consequently, the Expert Review Panel does not recommend BIA as an alternative field method for measuring body composition. Lastly, deuterium dilution has been used in the field where highly accurate measures of total body water are desired because one can take relatively small amounts of deuterium in the field, dilute it to the required participant dose, and then acquire body water samples in the form of urine, saliva, or blood to be remotely analyzed. Even though dilution techniques have been used, the cost of a protocol varies by the market price of deuterium and the labor cost of spectroscopic processing of many samples.</w:t>
            </w:r>
          </w:p>
          <w:p>
            <w:pPr>
              <w:pStyle w:val="Normal"/>
              <w:spacing w:before="0" w:after="0"/>
              <w:contextualSpacing/>
              <w:rPr>
                <w:rFonts w:ascii="Arial" w:hAnsi="Arial" w:cs="Arial"/>
                <w:sz w:val="22"/>
                <w:szCs w:val="22"/>
              </w:rPr>
            </w:pPr>
            <w:r>
              <w:rPr>
                <w:rFonts w:cs="MyriadPro-Regular" w:ascii="Trebuchet MS" w:hAnsi="Trebuchet MS"/>
                <w:sz w:val="20"/>
                <w:szCs w:val="20"/>
              </w:rPr>
              <w:t>In laboratory settings where more sophisticated technologies are available, additional methods include dual-energy X-ray absorptiometry (DXA), peripheral quantitative computed tomography, ultrasound assessment of regional body fat for whole body and regional fatness, magnetic resonance imaging (MRI), air displacement plethysmography (ADP), or hydrostatic weighing. All of the laboratory methods have some limitations in terms of their appropriateness for subjects at different ages or in particular situations. Of these, DXA is, at this point, the most widely recommended and used for body composition, because both whole body and regional measures can be made and normative references are available.</w:t>
            </w:r>
          </w:p>
        </w:tc>
      </w:tr>
    </w:tbl>
    <w:p>
      <w:pPr>
        <w:pStyle w:val="Normal"/>
        <w:spacing w:before="0" w:after="0"/>
        <w:contextualSpacing/>
        <w:rPr>
          <w:rFonts w:ascii="Arial" w:hAnsi="Arial" w:cs="Arial"/>
          <w:b/>
          <w:b/>
          <w:sz w:val="22"/>
          <w:szCs w:val="22"/>
        </w:rPr>
      </w:pPr>
      <w:r>
        <w:rPr>
          <w:rFonts w:cs="Arial" w:ascii="Arial" w:hAnsi="Arial"/>
          <w:b/>
          <w:sz w:val="22"/>
          <w:szCs w:val="22"/>
        </w:rPr>
      </w:r>
    </w:p>
    <w:p>
      <w:pPr>
        <w:pStyle w:val="Normal"/>
        <w:spacing w:before="0" w:after="0"/>
        <w:contextualSpacing/>
        <w:rPr>
          <w:rFonts w:ascii="Arial" w:hAnsi="Arial" w:cs="Arial"/>
          <w:b/>
          <w:b/>
          <w:sz w:val="22"/>
          <w:szCs w:val="22"/>
        </w:rPr>
      </w:pPr>
      <w:r>
        <w:rPr>
          <w:rFonts w:cs="Arial" w:ascii="Arial" w:hAnsi="Arial"/>
          <w:b/>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Style w:val="StrongEmphasis"/>
        <w:rFonts w:cs="Arial" w:ascii="Arial" w:hAnsi="Arial"/>
        <w:sz w:val="20"/>
        <w:szCs w:val="20"/>
      </w:rPr>
      <w:t>Body Composition</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Anthropometrics</w:t>
    </w:r>
  </w:p>
  <w:p>
    <w:pPr>
      <w:pStyle w:val="Normal"/>
      <w:rPr/>
    </w:pPr>
    <w:r>
      <w:rPr>
        <w:rFonts w:cs="Arial" w:ascii="Arial" w:hAnsi="Arial"/>
        <w:b/>
        <w:sz w:val="20"/>
        <w:szCs w:val="20"/>
      </w:rPr>
      <w:t xml:space="preserve">Release Date: October 1, 2015 </w:t>
      <w:tab/>
    </w:r>
  </w:p>
  <w:p>
    <w:pPr>
      <w:pStyle w:val="Normal"/>
      <w:rPr/>
    </w:pPr>
    <w:r>
      <w:rPr>
        <w:rStyle w:val="StrongEmphasis"/>
        <w:rFonts w:cs="Arial" w:ascii="Arial" w:hAnsi="Arial"/>
        <w:sz w:val="20"/>
        <w:szCs w:val="20"/>
      </w:rPr>
      <w:t>Body Composition</w:t>
    </w:r>
    <w:r>
      <w:rPr>
        <w:rFonts w:cs="Arial" w:ascii="Arial" w:hAnsi="Arial"/>
        <w:b/>
        <w:sz w:val="20"/>
        <w:szCs w:val="20"/>
      </w:rPr>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2015-09-18T17:39:00Z</dcterms:created>
  <dc:creator>whuggins</dc:creator>
  <dc:description/>
  <cp:keywords/>
  <dc:language>en-US</dc:language>
  <cp:lastModifiedBy>Devairakkam, Violet A.</cp:lastModifiedBy>
  <cp:lastPrinted>2009-03-24T15:13:00Z</cp:lastPrinted>
  <dcterms:modified xsi:type="dcterms:W3CDTF">2015-09-29T18:25:00Z</dcterms:modified>
  <cp:revision>9</cp:revision>
  <dc:subject/>
  <dc:title/>
</cp:coreProperties>
</file>