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Alcohol, Tobacco, and Other Substances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Quitting Cigarette Smoking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Questions used to ascertain if respondent has tried to quit smoking.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Measures to assess if the respondent has tried to quit cigarette smoking. There are three protocols: 1. A protocol to assess whether some-day smokers (&lt;12 days smoking in last month) ever tried to quit smoking; 2. A protocol for every day and some day smokers (≥12 days in last month) assessing if s/he have made quit attempts; and 3. A protocols for current smokers, which is a self-assessment of the likelihood of future quit success.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The Working Group acknowledges that the following questions may gather sensitive information relating to the use of substances and/or illegal conduct. If the information is released it might be damaging to an individual's employability, lead to social stigmatization, or other consequences. 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For information on obtaining a Certificate of Confidentiality, which helps researchers protect the privacy of human research participants, please go to the National Human Genome Research Institute’s Institutional Review Board website: </w:t>
            </w:r>
            <w:hyperlink r:id="rId2">
              <w:r>
                <w:rPr>
                  <w:rStyle w:val="InternetLink"/>
                  <w:rFonts w:cs="Arial" w:ascii="Arial" w:hAnsi="Arial"/>
                  <w:i/>
                  <w:iCs/>
                  <w:sz w:val="22"/>
                  <w:szCs w:val="22"/>
                </w:rPr>
                <w:t>http://www.genome.gov/10005108</w:t>
              </w:r>
            </w:hyperlink>
            <w:r>
              <w:rPr>
                <w:rFonts w:cs="Arial" w:ascii="Arial" w:hAnsi="Arial"/>
                <w:i/>
                <w:iCs/>
                <w:color w:val="000080"/>
                <w:sz w:val="22"/>
                <w:szCs w:val="22"/>
              </w:rPr>
              <w:t>.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The following questions are used for Some Day Smokers smoking fewer than 12 days in the past 30 days. Some Day Smoking status is determined through questions in the </w:t>
            </w:r>
            <w:r>
              <w:rPr>
                <w:rFonts w:cs="Arial" w:ascii="Arial" w:hAnsi="Arial"/>
                <w:b/>
                <w:i/>
                <w:iCs/>
                <w:sz w:val="22"/>
                <w:szCs w:val="22"/>
              </w:rPr>
              <w:t>PhenX Tobacco – cigarette smoking status</w:t>
            </w: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 measure: 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1. During the PAST 12 MONTHS, have you TRIED to QUIT smoking COMPLETELY? 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(1) Yes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(2) No 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Know/Refused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>The following question is asked if the respondent answered “No” to Question 1.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2. (If Question 1. is no) Have you EVER TRIED to QUIT smoking COMPLETELY?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(1) Yes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(2) No 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Know/Refused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The following questions are used for Every Day and Some Day smokers smoking ≥12 days in the past 30 days. Every Day and Some Day Smoking status is determined through questions in the </w:t>
            </w:r>
            <w:r>
              <w:rPr>
                <w:rFonts w:cs="Arial" w:ascii="Arial" w:hAnsi="Arial"/>
                <w:b/>
                <w:i/>
                <w:iCs/>
                <w:sz w:val="22"/>
                <w:szCs w:val="22"/>
              </w:rPr>
              <w:t>PhenX Tobacco – cigarette smoking status</w:t>
            </w: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 measure:   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1. Have you EVER stopped smoking for one day or longer BECAUSE YOU WERE TRYING TO QUIT SMOKING?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(1) Yes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(2) No 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Know/Refused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>The following question is asked if the respondent answered “Yes” to Question 1.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2. (If Q1=yes) During the PAST 12 MONTHS, have you stopped smoking for one day or longer BECAUSE YOU WERE TRYING TO QUIT SMOKING? 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(1) Yes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(2) No 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Know/Refused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/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>The following question is asked if the respondent answered “No” to Question 1.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3. (If Q1=no) Have you EVER made a serious attempt to stop smoking because you were TRYING to quit – even if you stopped for less than a day? 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(1) Yes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(2) No 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Know/Refused</w:t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70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1548" w:hanging="0"/>
              <w:rPr/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>The following question is asked if the respondent answered “No” to Question 2 or “Yes” to Question 3.</w:t>
            </w:r>
          </w:p>
          <w:p>
            <w:pPr>
              <w:pStyle w:val="Normal"/>
              <w:ind w:left="1548" w:hanging="0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ind w:left="1548" w:hanging="0"/>
              <w:rPr/>
            </w:pPr>
            <w:r>
              <w:rPr>
                <w:rFonts w:cs="Arial" w:ascii="Arial" w:hAnsi="Arial"/>
                <w:bCs/>
                <w:sz w:val="22"/>
                <w:szCs w:val="22"/>
              </w:rPr>
              <w:t>4. DURING THE PAST 12 MONTHS, have you made a serious attempt to stop smoking because you were TRYING to quit – even if you stopped for less than a day?</w:t>
            </w:r>
          </w:p>
          <w:p>
            <w:pPr>
              <w:pStyle w:val="Normal"/>
              <w:ind w:left="154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(1) Yes</w:t>
            </w:r>
          </w:p>
          <w:p>
            <w:pPr>
              <w:pStyle w:val="Normal"/>
              <w:ind w:left="154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(2) No </w:t>
            </w:r>
          </w:p>
          <w:p>
            <w:pPr>
              <w:pStyle w:val="Normal"/>
              <w:ind w:left="154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Know/Refused</w:t>
            </w:r>
          </w:p>
          <w:p>
            <w:pPr>
              <w:pStyle w:val="Normal"/>
              <w:ind w:left="1548" w:hanging="0"/>
              <w:rPr>
                <w:rFonts w:ascii="Arial" w:hAnsi="Arial" w:eastAsia="Arial" w:cs="Arial"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Cs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The following is asked of ALL current smokers. Smoker status is determined through questions in the </w:t>
            </w:r>
            <w:r>
              <w:rPr>
                <w:rFonts w:cs="Arial" w:ascii="Arial" w:hAnsi="Arial"/>
                <w:b/>
                <w:i/>
                <w:iCs/>
                <w:sz w:val="22"/>
                <w:szCs w:val="22"/>
              </w:rPr>
              <w:t>PhenX Tobacco – cigarette smoking status</w:t>
            </w: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 xml:space="preserve"> measure:   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If you did try to quit smoking altogether in the next 6 months, how LIKELY do you think you would be to succeed --- not at all, a little likely, somewhat likely or very likely?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(1) Not at all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(2) A little likely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(3) Somewhat likely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(4) Very likely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Don’t Know/Refused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≥</w:t>
            </w:r>
            <w:r>
              <w:rPr>
                <w:rFonts w:cs="Arial" w:ascii="Arial" w:hAnsi="Arial"/>
                <w:sz w:val="22"/>
                <w:szCs w:val="22"/>
              </w:rPr>
              <w:t>15 years of age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US Department of Commerce, Census Bureau (2008). National Cancer Institute and Centers for Disease Control and Prevention Co-sponsored Tobacco Use Supplement to the Current Population Survey (2006–2007) Technical documentation. </w:t>
            </w:r>
            <w:r>
              <w:rPr>
                <w:rFonts w:cs="Arial" w:ascii="Arial" w:hAnsi="Arial"/>
                <w:bCs/>
                <w:sz w:val="22"/>
                <w:szCs w:val="22"/>
              </w:rPr>
              <w:t xml:space="preserve">Questions Da, Db, D1, D2, D7, and G4. </w:t>
            </w:r>
            <w:hyperlink r:id="rId3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http://riskfactor.cancer.gov/studies/tus-cps/info.html</w:t>
              </w:r>
            </w:hyperlink>
            <w:r>
              <w:rPr>
                <w:rFonts w:cs="Arial" w:ascii="Arial" w:hAnsi="Arial"/>
                <w:color w:val="4D4D4D"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Interviewer must be trained and found competent to conduct personal interviews with individuals from the general population. The interviewer should be trained to prompt respondents further if a “don’t know” response is provided. 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While the source instrument was developed for administration by computer, the PhenX Working Group acknowledges that these questions can be administered in a non-computerized format.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Interviewer-administered questionnaire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“</w:t>
            </w:r>
            <w:r>
              <w:rPr>
                <w:rFonts w:cs="Arial" w:ascii="Arial" w:hAnsi="Arial"/>
                <w:sz w:val="22"/>
                <w:szCs w:val="22"/>
              </w:rPr>
              <w:t xml:space="preserve">Reports &amp; Publications Using the TUS-CPS.” National Cancer Institute, Tobacco Use Supplement to the Current Population Survey. 17 July 2008. Date of Access: 31 December 2008. </w:t>
            </w:r>
            <w:hyperlink r:id="rId4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http://riskfactor.cancer.gov/studies/tus-cps/publications.html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  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5"/>
      <w:footerReference w:type="default" r:id="rId6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t>Quitting Smoking</w:t>
    </w:r>
  </w:p>
  <w:p>
    <w:pPr>
      <w:pStyle w:val="Footer"/>
      <w:jc w:val="right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Alcohol, Tobacco, and Other Substances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Release Date: January 6, 2009 </w:t>
      <w:tab/>
    </w:r>
  </w:p>
  <w:p>
    <w:pPr>
      <w:pStyle w:val="Normal"/>
      <w:rPr/>
    </w:pPr>
    <w:r>
      <w:rPr>
        <w:rFonts w:cs="Arial" w:ascii="Arial" w:hAnsi="Arial"/>
        <w:b/>
        <w:bCs/>
        <w:sz w:val="20"/>
        <w:szCs w:val="20"/>
      </w:rPr>
      <w:t>Quitting Cigarette Smoking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20"/>
  <w:trackRevisio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StrongEmphasis">
    <w:name w:val="Strong Emphasis"/>
    <w:qFormat/>
    <w:rPr>
      <w:b/>
      <w:bCs/>
    </w:rPr>
  </w:style>
  <w:style w:type="character" w:styleId="HeaderChar">
    <w:name w:val="Header Char"/>
    <w:qFormat/>
    <w:rPr>
      <w:sz w:val="24"/>
      <w:szCs w:val="24"/>
    </w:rPr>
  </w:style>
  <w:style w:type="character" w:styleId="DefaultChar">
    <w:name w:val="Default Char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nome.gov/10005108" TargetMode="External"/><Relationship Id="rId3" Type="http://schemas.openxmlformats.org/officeDocument/2006/relationships/hyperlink" Target="http://riskfactor.cancer.gov/studies/tus-cps/info.html" TargetMode="External"/><Relationship Id="rId4" Type="http://schemas.openxmlformats.org/officeDocument/2006/relationships/hyperlink" Target="http://riskfactor.cancer.gov/studies/tus-cps/publications.html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2016-09-30T12:52:00Z</dcterms:created>
  <dc:creator>whuggins</dc:creator>
  <dc:description/>
  <cp:keywords/>
  <dc:language>en-US</dc:language>
  <cp:lastModifiedBy>Kilpatrick, Lisa</cp:lastModifiedBy>
  <cp:lastPrinted>2009-03-24T15:13:00Z</cp:lastPrinted>
  <dcterms:modified xsi:type="dcterms:W3CDTF">2016-09-30T12:56:00Z</dcterms:modified>
  <cp:revision>4</cp:revision>
  <dc:subject/>
  <dc:title/>
</cp:coreProperties>
</file>