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Alcohol, Tobacco, and Other Substances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Substances - Age of Offset of Substance Use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Question asking the respondent about time of most recent use of the substance.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Measurement of recency of substance use. Response used to calculate age of offset and duration of use.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/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The Working Group acknowledges the following question may gather sensitive information relating to the use of substances and/or illegal conduct. If the information is released it might be damaging to an individual's employability, lead to social stigmatization, or other consequences. 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For information on obtaining a Certificate of Confidentiality, which helps researchers protect the privacy of human research participants, please go to the National Human Genome Research Institute’s Institutional Review Board website: </w:t>
            </w:r>
            <w:hyperlink r:id="rId2">
              <w:r>
                <w:rPr>
                  <w:rStyle w:val="InternetLink"/>
                  <w:rFonts w:cs="Arial" w:ascii="Arial" w:hAnsi="Arial"/>
                  <w:i/>
                  <w:iCs/>
                  <w:sz w:val="22"/>
                  <w:szCs w:val="22"/>
                </w:rPr>
                <w:t>http://www.genome.gov/10005108</w:t>
              </w:r>
            </w:hyperlink>
            <w:r>
              <w:rPr>
                <w:rFonts w:cs="Arial" w:ascii="Arial" w:hAnsi="Arial"/>
                <w:i/>
                <w:iCs/>
                <w:color w:val="000080"/>
                <w:sz w:val="22"/>
                <w:szCs w:val="22"/>
              </w:rPr>
              <w:t>.</w:t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 xml:space="preserve">Asked of participants who had positive responses to the </w:t>
            </w:r>
            <w:r>
              <w:rPr>
                <w:rFonts w:cs="Arial" w:ascii="Arial" w:hAnsi="Arial"/>
                <w:b/>
                <w:i/>
                <w:iCs/>
                <w:sz w:val="22"/>
                <w:szCs w:val="22"/>
              </w:rPr>
              <w:t xml:space="preserve">PhenX Substances – lifetime use </w:t>
            </w: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 xml:space="preserve">measure.  </w:t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When was the most recent time you used (Name of drug category*)?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___Day(s)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___Week(s)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___Month(s)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___Year(s)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Don’t Know / Refused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* The </w:t>
            </w:r>
            <w:r>
              <w:rPr>
                <w:rFonts w:cs="Arial" w:ascii="Arial" w:hAnsi="Arial"/>
                <w:sz w:val="22"/>
                <w:szCs w:val="22"/>
              </w:rPr>
              <w:t xml:space="preserve">Alcohol Use Disorder and Associated Disabilities Interview Schedule – Diagnostic and Statistical Manual of Mental Disorders, Fourth Edition Version (AUDADIS – IV) drug categories </w:t>
            </w:r>
            <w:r>
              <w:rPr>
                <w:rFonts w:cs="Arial" w:ascii="Arial" w:hAnsi="Arial"/>
                <w:bCs/>
                <w:sz w:val="22"/>
                <w:szCs w:val="22"/>
              </w:rPr>
              <w:t>include: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 w:leader="none"/>
              </w:tabs>
              <w:spacing w:before="120" w:after="60"/>
              <w:ind w:left="720" w:hanging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Sedatives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 w:leader="none"/>
                <w:tab w:val="left" w:pos="1395" w:leader="none"/>
              </w:tabs>
              <w:spacing w:before="120" w:after="60"/>
              <w:ind w:left="720" w:hanging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Tranquilizers 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 w:leader="none"/>
                <w:tab w:val="left" w:pos="1395" w:leader="none"/>
              </w:tabs>
              <w:spacing w:before="120" w:after="60"/>
              <w:ind w:left="720" w:hanging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Painkillers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120" w:leader="none"/>
              </w:tabs>
              <w:spacing w:before="120" w:after="60"/>
              <w:ind w:left="24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Stimulants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40" w:leader="none"/>
              </w:tabs>
              <w:spacing w:before="120" w:after="60"/>
              <w:ind w:left="24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Marijuana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40" w:leader="none"/>
              </w:tabs>
              <w:spacing w:before="120" w:after="60"/>
              <w:ind w:left="24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Cocaine or crack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 w:leader="none"/>
              </w:tabs>
              <w:spacing w:before="120" w:after="60"/>
              <w:ind w:left="720" w:hanging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Hallucinogens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 w:leader="none"/>
              </w:tabs>
              <w:spacing w:before="120" w:after="60"/>
              <w:ind w:left="720" w:hanging="480"/>
              <w:rPr/>
            </w:pPr>
            <w:r>
              <w:rPr>
                <w:rFonts w:cs="Arial" w:ascii="Arial" w:hAnsi="Arial"/>
              </w:rPr>
              <w:t xml:space="preserve">Inhalants/Solvents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 w:leader="none"/>
              </w:tabs>
              <w:spacing w:before="120" w:after="60"/>
              <w:ind w:left="720" w:hanging="4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Heroin 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</w:rPr>
              <w:t>Other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≥</w:t>
            </w:r>
            <w:r>
              <w:rPr>
                <w:rFonts w:cs="Arial" w:ascii="Arial" w:hAnsi="Arial"/>
                <w:sz w:val="22"/>
                <w:szCs w:val="22"/>
              </w:rPr>
              <w:t>18 years of age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National Institute on Alcohol Abuse and Alcoholism (NIAAA) National Epidemiologic Survey on Alcohol and Related Conditions. Wave 1 (NESARC – WAVE 1). Alcohol Use Disorder and Associated Disabilities Interview Schedule – Diagnostic and Statistical Manual of Mental Disorders. Fourth Edition Version (AUDADIS – IV). </w:t>
            </w:r>
            <w:r>
              <w:rPr>
                <w:rFonts w:cs="Arial" w:ascii="Arial" w:hAnsi="Arial"/>
                <w:bCs/>
                <w:sz w:val="22"/>
                <w:szCs w:val="22"/>
              </w:rPr>
              <w:t xml:space="preserve">Section 3B. Question 2d. 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Grant BF, Dawson DA, Stinson FS, Chou PS, Kay W, Pickering R. The Alcohol Use Disorder and Associated Disabilities Interview Schedule-IV (AUDADIS-IV): reliability of alcohol consumption, tobacco use, family history of depression and psychiatric diagnostic modules in a general population sample. Drug Alcohol Depend. 2003 Jul 20; 71(1):7-16.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English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Interviewer must be trained and found to be competent to conduct personal interviews with individuals from the general population. The interviewer should be trained to prompt respondents further if a “don’t know” response is provided.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While the </w:t>
            </w:r>
            <w:r>
              <w:rPr>
                <w:rFonts w:cs="Arial" w:ascii="Arial" w:hAnsi="Arial"/>
                <w:sz w:val="22"/>
                <w:szCs w:val="22"/>
              </w:rPr>
              <w:t>Alcohol Use Disorder and Associated Disabilities Interview Schedule-IV (</w:t>
            </w:r>
            <w:r>
              <w:rPr>
                <w:rFonts w:cs="Arial" w:ascii="Arial" w:hAnsi="Arial"/>
                <w:bCs/>
                <w:sz w:val="22"/>
                <w:szCs w:val="22"/>
              </w:rPr>
              <w:t>AUDADIS-IV) instrument was developed for administration by computer, the PhenX Working Group acknowledges that this question can be administered in a non-computerized format. Hasin et al. (1997) and Grant et al. (1995) used the AUDADIS in paper and pencil format, while Grant et al. (2003) obtained data with the computerized format.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Interviewer-administered questionnaire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120"/>
              <w:ind w:left="259" w:hanging="2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Grant BF, Harford TC, Dawson DA, Chou PS, Pickering RP. The Alcohol Use Disorder and Associated Disabilities Interview Schedule (AUDADIS): reliability of alcohol and drug modules in a general population sample. </w:t>
            </w:r>
            <w:r>
              <w:rPr>
                <w:rFonts w:cs="Arial" w:ascii="Arial" w:hAnsi="Arial"/>
                <w:i/>
                <w:sz w:val="22"/>
                <w:szCs w:val="22"/>
              </w:rPr>
              <w:t>Drug Alcohol Depend</w:t>
            </w:r>
            <w:r>
              <w:rPr>
                <w:rFonts w:cs="Arial" w:ascii="Arial" w:hAnsi="Arial"/>
                <w:sz w:val="22"/>
                <w:szCs w:val="22"/>
              </w:rPr>
              <w:t>. 1995 Jul; 39(1):37-44.</w:t>
            </w:r>
          </w:p>
          <w:p>
            <w:pPr>
              <w:pStyle w:val="Title1"/>
              <w:spacing w:before="120" w:after="120"/>
              <w:ind w:left="252" w:hanging="25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Grant BF, Dawson DA, Stinson FS, Chou PS, Kay W, Pickering R. The Alcohol Use Disorder and Associated Disabilities Interview Schedule-IV (AUDADIS-IV): reliability of alcohol consumption, tobacco use, family history of depression and psychiatric diagnostic modules in a general population sample. Drug Alcohol Depend. 2003 Jul 20; 71(1):7-16.</w:t>
            </w:r>
          </w:p>
          <w:p>
            <w:pPr>
              <w:pStyle w:val="Normal"/>
              <w:spacing w:before="0" w:after="0"/>
              <w:ind w:left="259" w:hanging="259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Hasin D, Carpenter KM, McCloud S, Smith M, Grant BF. The Alcohol Use Disorder and Associated Disabilities Interview Schedule (AUDADIS): reliability of alcohol and drug modules in a clinical sample. </w:t>
            </w:r>
            <w:r>
              <w:rPr>
                <w:rFonts w:cs="Arial" w:ascii="Arial" w:hAnsi="Arial"/>
                <w:i/>
                <w:sz w:val="22"/>
                <w:szCs w:val="22"/>
              </w:rPr>
              <w:t>Drug Alcohol Depend</w:t>
            </w:r>
            <w:r>
              <w:rPr>
                <w:rFonts w:cs="Arial" w:ascii="Arial" w:hAnsi="Arial"/>
                <w:sz w:val="22"/>
                <w:szCs w:val="22"/>
              </w:rPr>
              <w:t>. 1997 Mar 14; 44(2-3):133-41.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t>Substances - Age of Offset of Substance Use</w:t>
    </w:r>
  </w:p>
  <w:p>
    <w:pPr>
      <w:pStyle w:val="Footer"/>
      <w:jc w:val="right"/>
      <w:rPr>
        <w:rFonts w:ascii="Arial" w:hAnsi="Arial" w:cs="Arial"/>
        <w:b/>
        <w:b/>
        <w:sz w:val="18"/>
        <w:szCs w:val="18"/>
      </w:rPr>
    </w:pPr>
    <w:r>
      <w:rPr>
        <w:rFonts w:cs="Arial" w:ascii="Arial" w:hAnsi="Arial"/>
        <w:b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Alcohol, Tobacco, and Other Substances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 xml:space="preserve">Release Date: January 6, 2009 </w:t>
    </w:r>
  </w:p>
  <w:p>
    <w:pPr>
      <w:pStyle w:val="Normal"/>
      <w:rPr/>
    </w:pPr>
    <w:r>
      <w:rPr>
        <w:rFonts w:cs="Arial" w:ascii="Arial" w:hAnsi="Arial"/>
        <w:b/>
        <w:bCs/>
        <w:sz w:val="20"/>
        <w:szCs w:val="20"/>
      </w:rPr>
      <w:t>Substances - Age of Offset of Substance Use</w:t>
    </w:r>
    <w:r>
      <w:rPr>
        <w:rFonts w:cs="Arial" w:ascii="Arial" w:hAnsi="Arial"/>
        <w:b/>
        <w:sz w:val="20"/>
        <w:szCs w:val="20"/>
      </w:rPr>
      <w:tab/>
      <w:tab/>
      <w:tab/>
      <w:tab/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sz w:val="22"/>
        <w:i w:val="false"/>
        <w:b w:val="false"/>
        <w:rFonts w:ascii="Arial" w:hAnsi="Arial" w:cs="Aria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>
      <w:rFonts w:ascii="Arial" w:hAnsi="Arial" w:cs="Arial"/>
      <w:b w:val="false"/>
      <w:i w:val="false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DefaultChar">
    <w:name w:val="Default Char"/>
    <w:basedOn w:val="DefaultParagraphFont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itle1">
    <w:name w:val="title1"/>
    <w:basedOn w:val="Normal"/>
    <w:qFormat/>
    <w:pPr>
      <w:spacing w:before="280" w:after="0"/>
      <w:ind w:left="825" w:hanging="0"/>
    </w:pPr>
    <w:rPr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enome.gov/10005108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2011-09-09T16:51:00Z</dcterms:created>
  <dc:creator>whuggins</dc:creator>
  <dc:description/>
  <cp:keywords/>
  <dc:language>en-US</dc:language>
  <cp:lastModifiedBy>ngaddis</cp:lastModifiedBy>
  <cp:lastPrinted>2009-03-24T15:13:00Z</cp:lastPrinted>
  <dcterms:modified xsi:type="dcterms:W3CDTF">2011-10-07T20:01:00Z</dcterms:modified>
  <cp:revision>9</cp:revision>
  <dc:subject/>
  <dc:title/>
</cp:coreProperties>
</file>