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 xml:space="preserve">About the Measure </w:t>
            </w:r>
          </w:p>
          <w:p>
            <w:pPr>
              <w:pStyle w:val="Normal"/>
              <w:rPr>
                <w:rFonts w:ascii="Arial" w:hAnsi="Arial" w:cs="Arial"/>
                <w:b/>
                <w:b/>
                <w:sz w:val="22"/>
                <w:szCs w:val="22"/>
              </w:rPr>
            </w:pPr>
            <w:r>
              <w:rPr>
                <w:rFonts w:cs="Arial" w:ascii="Arial" w:hAnsi="Arial"/>
                <w:b/>
                <w:sz w:val="22"/>
                <w:szCs w:val="22"/>
              </w:rPr>
            </w:r>
          </w:p>
        </w:tc>
      </w:tr>
      <w:tr>
        <w:trPr>
          <w:trHeight w:val="571"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Domain: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Diabetes </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Cystatin C Assay for Kidney Function</w:t>
            </w:r>
          </w:p>
          <w:p>
            <w:pPr>
              <w:pStyle w:val="Normal"/>
              <w:rPr>
                <w:rFonts w:ascii="Arial" w:hAnsi="Arial" w:cs="Arial"/>
                <w:sz w:val="22"/>
                <w:szCs w:val="22"/>
              </w:rPr>
            </w:pPr>
            <w:r>
              <w:rPr>
                <w:rFonts w:cs="Arial" w:ascii="Arial" w:hAnsi="Arial"/>
                <w:sz w:val="22"/>
                <w:szCs w:val="22"/>
              </w:rPr>
            </w:r>
          </w:p>
        </w:tc>
      </w:tr>
      <w:tr>
        <w:trPr>
          <w:trHeight w:val="339"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 bioassay to measure serum concentration of cystatin C, a protein that is filtered out of the blood by the kidneys.</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Serum cystatin C concentrations can be used to calculate glomerular filtration rate and therefore kidney function.  Although not yet standardized, calculations of glomerular filtration rate using cystatin C can be more accurate than those using serum creatinine because they are not altered by diet and muscle mass (Stevens et al., 2008)  </w:t>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r>
    </w:p>
    <w:tbl>
      <w:tblPr>
        <w:tblW w:w="10896" w:type="dxa"/>
        <w:jc w:val="center"/>
        <w:tblInd w:w="0" w:type="dxa"/>
        <w:tblLayout w:type="fixed"/>
        <w:tblCellMar>
          <w:top w:w="0" w:type="dxa"/>
          <w:left w:w="108" w:type="dxa"/>
          <w:bottom w:w="0" w:type="dxa"/>
          <w:right w:w="108" w:type="dxa"/>
        </w:tblCellMar>
      </w:tblPr>
      <w:tblGrid>
        <w:gridCol w:w="2280"/>
        <w:gridCol w:w="8616"/>
      </w:tblGrid>
      <w:tr>
        <w:trPr>
          <w:trHeight w:val="420" w:hRule="atLeast"/>
        </w:trPr>
        <w:tc>
          <w:tcPr>
            <w:tcW w:w="1089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sz w:val="22"/>
                <w:szCs w:val="22"/>
              </w:rPr>
            </w:pPr>
            <w:r>
              <w:rPr>
                <w:rFonts w:cs="Arial" w:ascii="Arial" w:hAnsi="Arial"/>
                <w:b/>
                <w:sz w:val="22"/>
                <w:szCs w:val="22"/>
              </w:rPr>
              <w:t xml:space="preserve">About the Protocol </w:t>
            </w:r>
          </w:p>
          <w:p>
            <w:pPr>
              <w:pStyle w:val="Normal"/>
              <w:jc w:val="center"/>
              <w:rPr>
                <w:rFonts w:ascii="Arial" w:hAnsi="Arial" w:cs="Arial"/>
                <w:b/>
                <w:b/>
                <w:sz w:val="22"/>
                <w:szCs w:val="22"/>
              </w:rPr>
            </w:pPr>
            <w:r>
              <w:rPr>
                <w:rFonts w:eastAsia="Arial" w:cs="Arial" w:ascii="Arial" w:hAnsi="Arial"/>
                <w:b/>
                <w:sz w:val="22"/>
                <w:szCs w:val="22"/>
              </w:rPr>
              <w:t xml:space="preserve"> </w:t>
            </w:r>
            <w:r>
              <w:rPr>
                <w:rFonts w:cs="Arial" w:ascii="Arial" w:hAnsi="Arial"/>
                <w:b/>
                <w:sz w:val="22"/>
                <w:szCs w:val="22"/>
                <w:highlight w:val="lightGray"/>
              </w:rPr>
              <w:t xml:space="preserve">(PLEASE fill out a new table for each alternate protocol, this will make the data loading </w:t>
            </w:r>
            <w:r>
              <w:rPr>
                <w:rFonts w:cs="Arial" w:ascii="Arial" w:hAnsi="Arial"/>
                <w:b/>
                <w:sz w:val="22"/>
                <w:szCs w:val="22"/>
                <w:highlight w:val="lightGray"/>
                <w:u w:val="single"/>
              </w:rPr>
              <w:t>much</w:t>
            </w:r>
            <w:r>
              <w:rPr>
                <w:rFonts w:cs="Arial" w:ascii="Arial" w:hAnsi="Arial"/>
                <w:b/>
                <w:sz w:val="22"/>
                <w:szCs w:val="22"/>
                <w:highlight w:val="lightGray"/>
              </w:rPr>
              <w:t xml:space="preserve"> faster)</w:t>
            </w:r>
          </w:p>
          <w:p>
            <w:pPr>
              <w:pStyle w:val="Normal"/>
              <w:rPr>
                <w:rFonts w:ascii="Arial" w:hAnsi="Arial" w:cs="Arial"/>
                <w:b/>
                <w:b/>
                <w:sz w:val="22"/>
                <w:szCs w:val="22"/>
              </w:rPr>
            </w:pPr>
            <w:r>
              <w:rPr>
                <w:rFonts w:cs="Arial" w:ascii="Arial" w:hAnsi="Arial"/>
                <w:b/>
                <w:sz w:val="22"/>
                <w:szCs w:val="22"/>
              </w:rPr>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16"/>
                <w:szCs w:val="16"/>
              </w:rPr>
            </w:pPr>
            <w:r>
              <w:rPr>
                <w:rFonts w:cs="Arial" w:ascii="Arial" w:hAnsi="Arial"/>
                <w:b/>
                <w:sz w:val="22"/>
                <w:szCs w:val="22"/>
              </w:rPr>
              <w:t>Description of Protocol:</w:t>
              <w:br/>
              <w:br/>
            </w:r>
            <w:r>
              <w:rPr>
                <w:rFonts w:cs="Arial" w:ascii="Arial" w:hAnsi="Arial"/>
                <w:bCs/>
                <w:sz w:val="16"/>
                <w:szCs w:val="16"/>
              </w:rPr>
              <w:t>(included in Community Outreach and Supplemental Information)</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80"/>
                <w:sz w:val="22"/>
                <w:szCs w:val="22"/>
              </w:rPr>
            </w:pPr>
            <w:r>
              <w:rPr>
                <w:rFonts w:cs="Arial" w:ascii="Arial" w:hAnsi="Arial"/>
                <w:bCs/>
                <w:sz w:val="22"/>
                <w:szCs w:val="22"/>
              </w:rPr>
              <w:t>This protocol provides instructions for drawing, processing and storing blood for the serum cystatin C assay according to the National Health and Nutrition Examination Survey (NHANES) methods.  As there are no standard assays for cystatin C, the protocol also provides basic guidelines to aid comparability among different studies.</w:t>
            </w:r>
            <w:r>
              <w:rPr>
                <w:rFonts w:cs="Arial" w:ascii="Arial" w:hAnsi="Arial"/>
                <w:color w:val="000080"/>
                <w:sz w:val="22"/>
                <w:szCs w:val="22"/>
              </w:rPr>
              <w:t xml:space="preserve"> </w:t>
            </w:r>
          </w:p>
          <w:p>
            <w:pPr>
              <w:pStyle w:val="Normal"/>
              <w:rPr>
                <w:rFonts w:ascii="Arial" w:hAnsi="Arial" w:cs="Arial"/>
                <w:color w:val="000080"/>
                <w:sz w:val="22"/>
                <w:szCs w:val="22"/>
              </w:rPr>
            </w:pPr>
            <w:r>
              <w:rPr>
                <w:rFonts w:cs="Arial" w:ascii="Arial" w:hAnsi="Arial"/>
                <w:color w:val="000080"/>
                <w:sz w:val="22"/>
                <w:szCs w:val="22"/>
              </w:rPr>
            </w:r>
          </w:p>
          <w:p>
            <w:pPr>
              <w:pStyle w:val="Normal"/>
              <w:rPr>
                <w:rFonts w:ascii="Arial" w:hAnsi="Arial" w:cs="Arial"/>
                <w:bCs/>
                <w:sz w:val="22"/>
                <w:szCs w:val="22"/>
              </w:rPr>
            </w:pPr>
            <w:r>
              <w:rPr>
                <w:rFonts w:cs="Arial" w:ascii="Arial" w:hAnsi="Arial"/>
                <w:color w:val="000080"/>
                <w:sz w:val="22"/>
                <w:szCs w:val="22"/>
              </w:rPr>
              <w:t xml:space="preserve">The Diabetes Working Group recommends that the cystatin c assay can be done in conjunction with serum creatinine to yield more information about kidney disease.  In particular, comparing and contrasting the polymorphisms associated with each assay can identify "true" markers for kidney function (see Kottgen et al., 2009 for more information).  </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Protocol text:</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Default"/>
              <w:rPr/>
            </w:pPr>
            <w:r>
              <w:rPr>
                <w:rFonts w:cs="Arial" w:ascii="Arial" w:hAnsi="Arial"/>
                <w:sz w:val="22"/>
                <w:szCs w:val="22"/>
              </w:rPr>
              <w:t xml:space="preserve">The following is a summary version of the full </w:t>
            </w:r>
            <w:r>
              <w:rPr>
                <w:rFonts w:cs="Arial" w:ascii="Arial" w:hAnsi="Arial"/>
                <w:bCs/>
                <w:sz w:val="22"/>
                <w:szCs w:val="22"/>
              </w:rPr>
              <w:t xml:space="preserve">National Health and Nutrition Examination Survey </w:t>
            </w:r>
            <w:r>
              <w:rPr>
                <w:rFonts w:cs="Arial" w:ascii="Arial" w:hAnsi="Arial"/>
                <w:sz w:val="22"/>
                <w:szCs w:val="22"/>
              </w:rPr>
              <w:t>2007-2008  protocol.</w:t>
            </w:r>
          </w:p>
          <w:p>
            <w:pPr>
              <w:pStyle w:val="Default"/>
              <w:rPr>
                <w:rFonts w:ascii="Arial" w:hAnsi="Arial" w:cs="Arial"/>
                <w:sz w:val="22"/>
                <w:szCs w:val="22"/>
              </w:rPr>
            </w:pPr>
            <w:r>
              <w:rPr>
                <w:rFonts w:cs="Arial" w:ascii="Arial" w:hAnsi="Arial"/>
                <w:sz w:val="22"/>
                <w:szCs w:val="22"/>
              </w:rPr>
            </w:r>
          </w:p>
          <w:p>
            <w:pPr>
              <w:pStyle w:val="Default"/>
              <w:rPr>
                <w:rFonts w:ascii="Arial" w:hAnsi="Arial" w:cs="Arial"/>
                <w:b/>
                <w:b/>
                <w:bCs/>
                <w:sz w:val="22"/>
                <w:szCs w:val="22"/>
              </w:rPr>
            </w:pPr>
            <w:r>
              <w:rPr>
                <w:rFonts w:cs="Arial" w:ascii="Arial" w:hAnsi="Arial"/>
                <w:b/>
                <w:bCs/>
                <w:sz w:val="22"/>
                <w:szCs w:val="22"/>
              </w:rPr>
              <w:t>Exclusion Criteria</w:t>
            </w:r>
          </w:p>
          <w:p>
            <w:pPr>
              <w:pStyle w:val="Default"/>
              <w:rPr>
                <w:rFonts w:ascii="Arial" w:hAnsi="Arial" w:cs="Arial"/>
                <w:b/>
                <w:b/>
                <w:bCs/>
                <w:sz w:val="22"/>
                <w:szCs w:val="22"/>
              </w:rPr>
            </w:pPr>
            <w:r>
              <w:rPr>
                <w:rFonts w:cs="Arial" w:ascii="Arial" w:hAnsi="Arial"/>
                <w:b/>
                <w:bCs/>
                <w:sz w:val="22"/>
                <w:szCs w:val="22"/>
              </w:rPr>
            </w:r>
          </w:p>
          <w:p>
            <w:pPr>
              <w:pStyle w:val="CM35"/>
              <w:jc w:val="both"/>
              <w:rPr>
                <w:rFonts w:ascii="Arial" w:hAnsi="Arial" w:cs="Arial"/>
                <w:color w:val="000000"/>
                <w:sz w:val="22"/>
                <w:szCs w:val="22"/>
              </w:rPr>
            </w:pPr>
            <w:r>
              <w:rPr>
                <w:rFonts w:cs="Arial" w:ascii="Arial" w:hAnsi="Arial"/>
              </w:rPr>
              <w:t xml:space="preserve">Persons will be </w:t>
            </w:r>
            <w:r>
              <w:rPr>
                <w:rFonts w:cs="Arial" w:ascii="Arial" w:hAnsi="Arial"/>
                <w:b/>
                <w:bCs/>
              </w:rPr>
              <w:t xml:space="preserve">excluded </w:t>
            </w:r>
            <w:r>
              <w:rPr>
                <w:rFonts w:cs="Arial" w:ascii="Arial" w:hAnsi="Arial"/>
              </w:rPr>
              <w:t xml:space="preserve">from this component if they:  </w:t>
            </w:r>
          </w:p>
          <w:p>
            <w:pPr>
              <w:pStyle w:val="CM31"/>
              <w:numPr>
                <w:ilvl w:val="0"/>
                <w:numId w:val="2"/>
              </w:numPr>
              <w:jc w:val="both"/>
              <w:rPr>
                <w:rFonts w:ascii="Arial" w:hAnsi="Arial" w:cs="Arial"/>
                <w:color w:val="000000"/>
                <w:sz w:val="22"/>
                <w:szCs w:val="22"/>
              </w:rPr>
            </w:pPr>
            <w:r>
              <w:rPr>
                <w:rFonts w:cs="Arial" w:ascii="Arial" w:hAnsi="Arial"/>
                <w:color w:val="000000"/>
                <w:sz w:val="22"/>
                <w:szCs w:val="22"/>
              </w:rPr>
              <w:t xml:space="preserve">Report that they have hemophilia; or </w:t>
            </w:r>
          </w:p>
          <w:p>
            <w:pPr>
              <w:pStyle w:val="CM31"/>
              <w:numPr>
                <w:ilvl w:val="0"/>
                <w:numId w:val="2"/>
              </w:numPr>
              <w:spacing w:lineRule="atLeast" w:line="253"/>
              <w:jc w:val="both"/>
              <w:rPr>
                <w:rFonts w:ascii="Arial" w:hAnsi="Arial" w:cs="Arial"/>
                <w:color w:val="000000"/>
                <w:sz w:val="22"/>
                <w:szCs w:val="22"/>
              </w:rPr>
            </w:pPr>
            <w:r>
              <w:rPr>
                <w:rFonts w:cs="Arial" w:ascii="Arial" w:hAnsi="Arial"/>
                <w:color w:val="000000"/>
                <w:sz w:val="22"/>
                <w:szCs w:val="22"/>
              </w:rPr>
              <w:t>Report that they have received cancer chemotherapy in the last 4 weeks</w:t>
            </w:r>
          </w:p>
          <w:p>
            <w:pPr>
              <w:pStyle w:val="Default"/>
              <w:rPr>
                <w:rFonts w:ascii="Arial" w:hAnsi="Arial" w:cs="Arial"/>
                <w:i/>
                <w:i/>
                <w:iCs/>
                <w:color w:val="000000"/>
                <w:sz w:val="22"/>
                <w:szCs w:val="22"/>
              </w:rPr>
            </w:pPr>
            <w:r>
              <w:rPr>
                <w:rFonts w:cs="Arial" w:ascii="Arial" w:hAnsi="Arial"/>
                <w:i/>
                <w:iCs/>
                <w:color w:val="000000"/>
                <w:sz w:val="22"/>
                <w:szCs w:val="22"/>
              </w:rPr>
            </w:r>
          </w:p>
          <w:p>
            <w:pPr>
              <w:pStyle w:val="Default"/>
              <w:rPr>
                <w:rFonts w:ascii="Arial" w:hAnsi="Arial" w:cs="Arial"/>
                <w:i/>
                <w:i/>
                <w:iCs/>
                <w:sz w:val="22"/>
                <w:szCs w:val="22"/>
              </w:rPr>
            </w:pPr>
            <w:r>
              <w:rPr>
                <w:rFonts w:cs="Arial" w:ascii="Arial" w:hAnsi="Arial"/>
                <w:i/>
                <w:iCs/>
                <w:sz w:val="22"/>
                <w:szCs w:val="22"/>
              </w:rPr>
              <w:t>SP= Sample Person.</w:t>
            </w:r>
          </w:p>
          <w:p>
            <w:pPr>
              <w:pStyle w:val="Default"/>
              <w:rPr>
                <w:rFonts w:ascii="Arial" w:hAnsi="Arial" w:cs="Arial"/>
                <w:i/>
                <w:i/>
                <w:iCs/>
                <w:sz w:val="22"/>
                <w:szCs w:val="22"/>
              </w:rPr>
            </w:pPr>
            <w:r>
              <w:rPr>
                <w:rFonts w:cs="Arial" w:ascii="Arial" w:hAnsi="Arial"/>
                <w:i/>
                <w:iCs/>
                <w:sz w:val="22"/>
                <w:szCs w:val="22"/>
              </w:rPr>
            </w:r>
          </w:p>
          <w:p>
            <w:pPr>
              <w:pStyle w:val="Default"/>
              <w:rPr>
                <w:rFonts w:ascii="Arial" w:hAnsi="Arial" w:cs="Arial"/>
                <w:sz w:val="22"/>
                <w:szCs w:val="22"/>
              </w:rPr>
            </w:pPr>
            <w:r>
              <w:rPr>
                <w:rFonts w:cs="Arial" w:ascii="Arial" w:hAnsi="Arial"/>
                <w:sz w:val="22"/>
                <w:szCs w:val="22"/>
              </w:rPr>
              <w:t>1.  Do you have hemophilia?</w:t>
            </w:r>
          </w:p>
          <w:p>
            <w:pPr>
              <w:pStyle w:val="Default"/>
              <w:rPr>
                <w:rFonts w:ascii="Arial" w:hAnsi="Arial" w:cs="Arial"/>
                <w:sz w:val="22"/>
                <w:szCs w:val="22"/>
              </w:rPr>
            </w:pPr>
            <w:r>
              <w:rPr>
                <w:rFonts w:cs="Arial" w:ascii="Arial" w:hAnsi="Arial"/>
                <w:sz w:val="22"/>
                <w:szCs w:val="22"/>
              </w:rPr>
              <w:t>[ ] 1 Yes</w:t>
            </w:r>
          </w:p>
          <w:p>
            <w:pPr>
              <w:pStyle w:val="Default"/>
              <w:rPr>
                <w:rFonts w:ascii="Arial" w:hAnsi="Arial" w:cs="Arial"/>
                <w:sz w:val="22"/>
                <w:szCs w:val="22"/>
              </w:rPr>
            </w:pPr>
            <w:r>
              <w:rPr>
                <w:rFonts w:cs="Arial" w:ascii="Arial" w:hAnsi="Arial"/>
                <w:sz w:val="22"/>
                <w:szCs w:val="22"/>
              </w:rPr>
              <w:t>[ ] 2 No</w:t>
            </w:r>
          </w:p>
          <w:p>
            <w:pPr>
              <w:pStyle w:val="Default"/>
              <w:rPr>
                <w:rFonts w:ascii="Arial" w:hAnsi="Arial" w:cs="Arial"/>
                <w:sz w:val="22"/>
                <w:szCs w:val="22"/>
              </w:rPr>
            </w:pPr>
            <w:r>
              <w:rPr>
                <w:rFonts w:cs="Arial" w:ascii="Arial" w:hAnsi="Arial"/>
                <w:sz w:val="22"/>
                <w:szCs w:val="22"/>
              </w:rPr>
              <w:t>[ ] 7 Refused</w:t>
            </w:r>
          </w:p>
          <w:p>
            <w:pPr>
              <w:pStyle w:val="Default"/>
              <w:rPr>
                <w:rFonts w:ascii="Arial" w:hAnsi="Arial" w:cs="Arial"/>
                <w:sz w:val="22"/>
                <w:szCs w:val="22"/>
              </w:rPr>
            </w:pPr>
            <w:r>
              <w:rPr>
                <w:rFonts w:cs="Arial" w:ascii="Arial" w:hAnsi="Arial"/>
                <w:sz w:val="22"/>
                <w:szCs w:val="22"/>
              </w:rPr>
              <w:t>[ ] 9 Don't Know</w:t>
            </w:r>
          </w:p>
          <w:p>
            <w:pPr>
              <w:pStyle w:val="Default"/>
              <w:rPr>
                <w:rFonts w:ascii="Arial" w:hAnsi="Arial" w:cs="Arial"/>
                <w:sz w:val="22"/>
                <w:szCs w:val="22"/>
              </w:rPr>
            </w:pPr>
            <w:r>
              <w:rPr>
                <w:rFonts w:cs="Arial" w:ascii="Arial" w:hAnsi="Arial"/>
                <w:sz w:val="22"/>
                <w:szCs w:val="22"/>
              </w:rPr>
            </w:r>
          </w:p>
          <w:p>
            <w:pPr>
              <w:pStyle w:val="Default"/>
              <w:rPr>
                <w:rFonts w:ascii="Arial" w:hAnsi="Arial" w:cs="Arial"/>
                <w:sz w:val="22"/>
                <w:szCs w:val="22"/>
              </w:rPr>
            </w:pPr>
            <w:r>
              <w:rPr>
                <w:rFonts w:cs="Arial" w:ascii="Arial" w:hAnsi="Arial"/>
                <w:sz w:val="22"/>
                <w:szCs w:val="22"/>
              </w:rPr>
              <w:t>If the SP answers, “Yes,” the SP is excluded from the blood draw.</w:t>
            </w:r>
          </w:p>
          <w:p>
            <w:pPr>
              <w:pStyle w:val="Default"/>
              <w:rPr>
                <w:rFonts w:ascii="Arial" w:hAnsi="Arial" w:cs="Arial"/>
                <w:sz w:val="22"/>
                <w:szCs w:val="22"/>
              </w:rPr>
            </w:pPr>
            <w:r>
              <w:rPr>
                <w:rFonts w:cs="Arial" w:ascii="Arial" w:hAnsi="Arial"/>
                <w:sz w:val="22"/>
                <w:szCs w:val="22"/>
              </w:rPr>
              <w:t>If SP answer “No” or “Don’t Know,” blood is drawn from the SP.</w:t>
            </w:r>
          </w:p>
          <w:p>
            <w:pPr>
              <w:pStyle w:val="Default"/>
              <w:rPr>
                <w:rFonts w:ascii="Arial" w:hAnsi="Arial" w:cs="Arial"/>
                <w:sz w:val="22"/>
                <w:szCs w:val="22"/>
              </w:rPr>
            </w:pPr>
            <w:r>
              <w:rPr>
                <w:rFonts w:cs="Arial" w:ascii="Arial" w:hAnsi="Arial"/>
                <w:sz w:val="22"/>
                <w:szCs w:val="22"/>
              </w:rPr>
            </w:r>
          </w:p>
          <w:p>
            <w:pPr>
              <w:pStyle w:val="Default"/>
              <w:rPr/>
            </w:pPr>
            <w:r>
              <w:rPr>
                <w:rFonts w:cs="Arial" w:ascii="Arial" w:hAnsi="Arial"/>
                <w:sz w:val="22"/>
                <w:szCs w:val="22"/>
              </w:rPr>
              <w:t>2. Have you received cancer chemotherapy in the past four weeks or do you anticipate such therapy in the next four weeks?</w:t>
            </w:r>
          </w:p>
          <w:p>
            <w:pPr>
              <w:pStyle w:val="Default"/>
              <w:rPr>
                <w:rFonts w:ascii="Arial" w:hAnsi="Arial" w:cs="Arial"/>
                <w:sz w:val="22"/>
                <w:szCs w:val="22"/>
              </w:rPr>
            </w:pPr>
            <w:r>
              <w:rPr>
                <w:rFonts w:cs="Arial" w:ascii="Arial" w:hAnsi="Arial"/>
                <w:sz w:val="22"/>
                <w:szCs w:val="22"/>
              </w:rPr>
            </w:r>
          </w:p>
          <w:p>
            <w:pPr>
              <w:pStyle w:val="Default"/>
              <w:rPr>
                <w:rFonts w:ascii="Arial" w:hAnsi="Arial" w:cs="Arial"/>
                <w:sz w:val="22"/>
                <w:szCs w:val="22"/>
              </w:rPr>
            </w:pPr>
            <w:r>
              <w:rPr>
                <w:rFonts w:cs="Arial" w:ascii="Arial" w:hAnsi="Arial"/>
                <w:sz w:val="22"/>
                <w:szCs w:val="22"/>
              </w:rPr>
              <w:t>[ ] 1 Yes</w:t>
            </w:r>
          </w:p>
          <w:p>
            <w:pPr>
              <w:pStyle w:val="Default"/>
              <w:rPr>
                <w:rFonts w:ascii="Arial" w:hAnsi="Arial" w:cs="Arial"/>
                <w:sz w:val="22"/>
                <w:szCs w:val="22"/>
              </w:rPr>
            </w:pPr>
            <w:r>
              <w:rPr>
                <w:rFonts w:cs="Arial" w:ascii="Arial" w:hAnsi="Arial"/>
                <w:sz w:val="22"/>
                <w:szCs w:val="22"/>
              </w:rPr>
              <w:t>[ ] 2 No</w:t>
            </w:r>
          </w:p>
          <w:p>
            <w:pPr>
              <w:pStyle w:val="Default"/>
              <w:rPr>
                <w:rFonts w:ascii="Arial" w:hAnsi="Arial" w:cs="Arial"/>
                <w:sz w:val="22"/>
                <w:szCs w:val="22"/>
              </w:rPr>
            </w:pPr>
            <w:r>
              <w:rPr>
                <w:rFonts w:cs="Arial" w:ascii="Arial" w:hAnsi="Arial"/>
                <w:sz w:val="22"/>
                <w:szCs w:val="22"/>
              </w:rPr>
              <w:t>[ ] 7 Refused</w:t>
            </w:r>
          </w:p>
          <w:p>
            <w:pPr>
              <w:pStyle w:val="Default"/>
              <w:rPr>
                <w:rFonts w:ascii="Arial" w:hAnsi="Arial" w:cs="Arial"/>
                <w:sz w:val="22"/>
                <w:szCs w:val="22"/>
              </w:rPr>
            </w:pPr>
            <w:r>
              <w:rPr>
                <w:rFonts w:cs="Arial" w:ascii="Arial" w:hAnsi="Arial"/>
                <w:sz w:val="22"/>
                <w:szCs w:val="22"/>
              </w:rPr>
              <w:t>[ ] 9 Don't Know</w:t>
            </w:r>
          </w:p>
          <w:p>
            <w:pPr>
              <w:pStyle w:val="Default"/>
              <w:rPr>
                <w:rFonts w:ascii="Arial" w:hAnsi="Arial" w:cs="Arial"/>
                <w:sz w:val="22"/>
                <w:szCs w:val="22"/>
              </w:rPr>
            </w:pPr>
            <w:r>
              <w:rPr>
                <w:rFonts w:cs="Arial" w:ascii="Arial" w:hAnsi="Arial"/>
                <w:sz w:val="22"/>
                <w:szCs w:val="22"/>
              </w:rPr>
            </w:r>
          </w:p>
          <w:p>
            <w:pPr>
              <w:pStyle w:val="Default"/>
              <w:rPr>
                <w:rFonts w:ascii="Arial" w:hAnsi="Arial" w:cs="Arial"/>
                <w:sz w:val="22"/>
                <w:szCs w:val="22"/>
              </w:rPr>
            </w:pPr>
            <w:r>
              <w:rPr>
                <w:rFonts w:cs="Arial" w:ascii="Arial" w:hAnsi="Arial"/>
                <w:sz w:val="22"/>
                <w:szCs w:val="22"/>
              </w:rPr>
              <w:t>If the SP answers, “Yes,” the SP is excluded from the blood draw.</w:t>
            </w:r>
          </w:p>
          <w:p>
            <w:pPr>
              <w:pStyle w:val="Default"/>
              <w:rPr>
                <w:rFonts w:ascii="Arial" w:hAnsi="Arial" w:cs="Arial"/>
                <w:sz w:val="22"/>
                <w:szCs w:val="22"/>
              </w:rPr>
            </w:pPr>
            <w:r>
              <w:rPr>
                <w:rFonts w:cs="Arial" w:ascii="Arial" w:hAnsi="Arial"/>
                <w:sz w:val="22"/>
                <w:szCs w:val="22"/>
              </w:rPr>
              <w:t>If SP answer “No” or “Don’t Know,” blood is drawn from the SP.</w:t>
            </w:r>
          </w:p>
          <w:p>
            <w:pPr>
              <w:pStyle w:val="Default"/>
              <w:rPr>
                <w:rFonts w:ascii="Arial" w:hAnsi="Arial" w:cs="Arial"/>
                <w:sz w:val="22"/>
                <w:szCs w:val="22"/>
              </w:rPr>
            </w:pPr>
            <w:r>
              <w:rPr>
                <w:rFonts w:cs="Arial" w:ascii="Arial" w:hAnsi="Arial"/>
                <w:sz w:val="22"/>
                <w:szCs w:val="22"/>
              </w:rPr>
            </w:r>
          </w:p>
          <w:p>
            <w:pPr>
              <w:pStyle w:val="Default"/>
              <w:rPr/>
            </w:pPr>
            <w:r>
              <w:rPr>
                <w:rFonts w:cs="Arial" w:ascii="Arial" w:hAnsi="Arial"/>
                <w:i/>
                <w:iCs/>
                <w:sz w:val="22"/>
                <w:szCs w:val="22"/>
              </w:rPr>
              <w:t>Note from the Diabetes Working Group:  The investigator should record the reason a sample person is excluded from the blood draw.</w:t>
            </w:r>
          </w:p>
          <w:p>
            <w:pPr>
              <w:pStyle w:val="Default"/>
              <w:rPr>
                <w:rFonts w:ascii="Arial" w:hAnsi="Arial" w:cs="Arial"/>
                <w:i/>
                <w:i/>
                <w:iCs/>
                <w:sz w:val="22"/>
                <w:szCs w:val="22"/>
              </w:rPr>
            </w:pPr>
            <w:r>
              <w:rPr>
                <w:rFonts w:cs="Arial" w:ascii="Arial" w:hAnsi="Arial"/>
                <w:i/>
                <w:iCs/>
                <w:sz w:val="22"/>
                <w:szCs w:val="22"/>
              </w:rPr>
            </w:r>
          </w:p>
          <w:p>
            <w:pPr>
              <w:pStyle w:val="CM189"/>
              <w:spacing w:lineRule="atLeast" w:line="360"/>
              <w:jc w:val="both"/>
              <w:rPr>
                <w:rFonts w:ascii="Arial" w:hAnsi="Arial" w:cs="Arial"/>
                <w:b/>
                <w:b/>
                <w:bCs/>
                <w:color w:val="000000"/>
                <w:sz w:val="22"/>
                <w:szCs w:val="22"/>
              </w:rPr>
            </w:pPr>
            <w:r>
              <w:rPr>
                <w:rFonts w:cs="Arial" w:ascii="Arial" w:hAnsi="Arial"/>
                <w:b/>
                <w:bCs/>
                <w:color w:val="000000"/>
                <w:sz w:val="22"/>
                <w:szCs w:val="22"/>
              </w:rPr>
              <w:t xml:space="preserve">Venipuncture Procedures </w:t>
            </w:r>
          </w:p>
          <w:p>
            <w:pPr>
              <w:pStyle w:val="Default"/>
              <w:rPr>
                <w:rFonts w:ascii="Arial" w:hAnsi="Arial" w:cs="Arial"/>
                <w:b/>
                <w:b/>
                <w:bCs/>
                <w:color w:val="000000"/>
                <w:sz w:val="22"/>
                <w:szCs w:val="22"/>
              </w:rPr>
            </w:pPr>
            <w:r>
              <w:rPr>
                <w:rFonts w:cs="Arial" w:ascii="Arial" w:hAnsi="Arial"/>
                <w:b/>
                <w:bCs/>
                <w:color w:val="000000"/>
                <w:sz w:val="22"/>
                <w:szCs w:val="22"/>
              </w:rPr>
            </w:r>
          </w:p>
          <w:p>
            <w:pPr>
              <w:pStyle w:val="Default"/>
              <w:rPr>
                <w:rFonts w:ascii="Arial" w:hAnsi="Arial" w:cs="Arial"/>
                <w:sz w:val="22"/>
                <w:szCs w:val="22"/>
              </w:rPr>
            </w:pPr>
            <w:r>
              <w:rPr>
                <w:rFonts w:cs="Arial" w:ascii="Arial" w:hAnsi="Arial"/>
                <w:i/>
                <w:iCs/>
                <w:sz w:val="22"/>
                <w:szCs w:val="22"/>
              </w:rPr>
              <w:t>Editor's Note:</w:t>
            </w:r>
            <w:r>
              <w:rPr>
                <w:rFonts w:cs="Arial" w:ascii="Arial" w:hAnsi="Arial"/>
                <w:b/>
                <w:bCs/>
                <w:i/>
                <w:iCs/>
                <w:sz w:val="22"/>
                <w:szCs w:val="22"/>
              </w:rPr>
              <w:t xml:space="preserve">  </w:t>
            </w:r>
            <w:r>
              <w:rPr>
                <w:rFonts w:cs="Arial" w:ascii="Arial" w:hAnsi="Arial"/>
                <w:i/>
                <w:iCs/>
                <w:sz w:val="22"/>
                <w:szCs w:val="22"/>
              </w:rPr>
              <w:t xml:space="preserve">Please review chapter 4 of the Laboratory Procedures Manual from the National Health and Nutrition Examination Survey for a full description of Phlebotomy procedures:  </w:t>
            </w:r>
            <w:r>
              <w:rPr>
                <w:rFonts w:cs="Arial" w:ascii="Arial" w:hAnsi="Arial"/>
                <w:sz w:val="20"/>
                <w:szCs w:val="20"/>
                <w:highlight w:val="white"/>
              </w:rPr>
              <w:t>[link[ 2007-2008 NHANES Lab Manual | NHANES_Lab_Manual.pdf ]]</w:t>
            </w:r>
            <w:r>
              <w:rPr>
                <w:rFonts w:cs="Arial" w:ascii="Arial" w:hAnsi="Arial"/>
                <w:i/>
                <w:iCs/>
                <w:sz w:val="22"/>
                <w:szCs w:val="22"/>
              </w:rPr>
              <w:t xml:space="preserve">.  </w:t>
            </w:r>
          </w:p>
          <w:p>
            <w:pPr>
              <w:pStyle w:val="Default"/>
              <w:rPr>
                <w:rFonts w:ascii="Arial" w:hAnsi="Arial" w:cs="Arial"/>
                <w:sz w:val="22"/>
                <w:szCs w:val="22"/>
              </w:rPr>
            </w:pPr>
            <w:r>
              <w:rPr>
                <w:rFonts w:cs="Arial" w:ascii="Arial" w:hAnsi="Arial"/>
                <w:sz w:val="22"/>
                <w:szCs w:val="22"/>
              </w:rPr>
            </w:r>
          </w:p>
          <w:p>
            <w:pPr>
              <w:pStyle w:val="Default"/>
              <w:rPr/>
            </w:pPr>
            <w:r>
              <w:rPr>
                <w:rFonts w:cs="Arial" w:ascii="Arial" w:hAnsi="Arial"/>
                <w:sz w:val="22"/>
                <w:szCs w:val="22"/>
              </w:rPr>
              <w:t xml:space="preserve">Venipuncture should generally be performed using the median cubital, cephalic, or basilic veins in the left arm unless this arm is unsuitable. If the veins in the left arm are unsuitable, look for suitable veins on the right arm. If the veins in the antecubital space on both arms are not suitable, then look for veins in the forearm or dorsal side of the hand on the left arm/hand and then the right arm/hand.  </w:t>
            </w:r>
            <w:r>
              <w:rPr>
                <w:rFonts w:cs="Arial" w:ascii="Arial" w:hAnsi="Arial"/>
                <w:i/>
                <w:iCs/>
                <w:sz w:val="22"/>
                <w:szCs w:val="22"/>
              </w:rPr>
              <w:t xml:space="preserve"> </w:t>
            </w:r>
          </w:p>
          <w:p>
            <w:pPr>
              <w:pStyle w:val="Default"/>
              <w:rPr>
                <w:rFonts w:ascii="Arial" w:hAnsi="Arial" w:cs="Arial"/>
                <w:i/>
                <w:i/>
                <w:iCs/>
                <w:sz w:val="22"/>
                <w:szCs w:val="22"/>
              </w:rPr>
            </w:pPr>
            <w:r>
              <w:rPr>
                <w:rFonts w:cs="Arial" w:ascii="Arial" w:hAnsi="Arial"/>
                <w:i/>
                <w:iCs/>
                <w:sz w:val="22"/>
                <w:szCs w:val="22"/>
              </w:rPr>
            </w:r>
          </w:p>
          <w:p>
            <w:pPr>
              <w:pStyle w:val="Default"/>
              <w:rPr>
                <w:rFonts w:ascii="Arial" w:hAnsi="Arial" w:cs="Arial"/>
                <w:sz w:val="22"/>
                <w:szCs w:val="22"/>
              </w:rPr>
            </w:pPr>
            <w:r>
              <w:rPr>
                <w:rFonts w:cs="Arial" w:ascii="Arial" w:hAnsi="Arial"/>
                <w:i/>
                <w:iCs/>
                <w:sz w:val="22"/>
                <w:szCs w:val="22"/>
              </w:rPr>
              <w:t>Note from the Diabetes Working Group:</w:t>
            </w:r>
            <w:r>
              <w:rPr>
                <w:rFonts w:cs="Arial" w:ascii="Arial" w:hAnsi="Arial"/>
                <w:b/>
                <w:bCs/>
                <w:i/>
                <w:iCs/>
                <w:sz w:val="22"/>
                <w:szCs w:val="22"/>
              </w:rPr>
              <w:t xml:space="preserve"> </w:t>
            </w:r>
            <w:r>
              <w:rPr>
                <w:rFonts w:cs="Arial" w:ascii="Arial" w:hAnsi="Arial"/>
                <w:i/>
                <w:iCs/>
                <w:sz w:val="22"/>
                <w:szCs w:val="22"/>
              </w:rPr>
              <w:t xml:space="preserve">Blood should be collected in an appropriate 5- or 10-mL red-top tube. </w:t>
            </w:r>
          </w:p>
          <w:p>
            <w:pPr>
              <w:pStyle w:val="Default"/>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rPr>
            </w:pPr>
            <w:r>
              <w:rPr>
                <w:rFonts w:cs="Arial" w:ascii="Arial" w:hAnsi="Arial"/>
                <w:b/>
                <w:bCs/>
                <w:sz w:val="22"/>
                <w:szCs w:val="22"/>
              </w:rPr>
              <w:t>Record the Results of the Venipuncture Procedure</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Immediately after completing the venipuncture, record the results of the blood draw, the reasons for a tube not being drawn according to the protocol, and any comments about the venipuncture.</w:t>
            </w:r>
          </w:p>
          <w:p>
            <w:pPr>
              <w:pStyle w:val="Normal"/>
              <w:rPr>
                <w:rFonts w:ascii="Arial" w:hAnsi="Arial" w:cs="Arial"/>
                <w:sz w:val="22"/>
                <w:szCs w:val="22"/>
              </w:rPr>
            </w:pPr>
            <w:r>
              <w:rPr>
                <w:rFonts w:cs="Arial" w:ascii="Arial" w:hAnsi="Arial"/>
                <w:sz w:val="22"/>
                <w:szCs w:val="22"/>
              </w:rPr>
            </w:r>
          </w:p>
          <w:p>
            <w:pPr>
              <w:pStyle w:val="Normal"/>
              <w:rPr>
                <w:rFonts w:ascii="Arial" w:hAnsi="Arial" w:cs="Arial"/>
                <w:i/>
                <w:i/>
                <w:iCs/>
                <w:sz w:val="22"/>
                <w:szCs w:val="22"/>
              </w:rPr>
            </w:pPr>
            <w:r>
              <w:rPr>
                <w:rFonts w:cs="Arial" w:ascii="Arial" w:hAnsi="Arial"/>
                <w:i/>
                <w:iCs/>
                <w:sz w:val="22"/>
                <w:szCs w:val="22"/>
              </w:rPr>
              <w:t>Note from the Diabetes Working Group:  The Diabetes Working Group recommends that the investigator record whether the blood was drawn and whether the full amount was obtained.</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b/>
                <w:b/>
                <w:bCs/>
                <w:sz w:val="22"/>
                <w:szCs w:val="22"/>
                <w:u w:val="single"/>
              </w:rPr>
            </w:pPr>
            <w:r>
              <w:rPr>
                <w:rFonts w:cs="Arial" w:ascii="Arial" w:hAnsi="Arial"/>
                <w:b/>
                <w:bCs/>
                <w:sz w:val="22"/>
                <w:szCs w:val="22"/>
                <w:u w:val="single"/>
              </w:rPr>
            </w:r>
          </w:p>
          <w:p>
            <w:pPr>
              <w:pStyle w:val="Normal"/>
              <w:rPr>
                <w:rFonts w:ascii="Arial" w:hAnsi="Arial" w:cs="Arial"/>
                <w:b/>
                <w:b/>
                <w:bCs/>
                <w:sz w:val="22"/>
                <w:szCs w:val="22"/>
              </w:rPr>
            </w:pPr>
            <w:r>
              <w:rPr>
                <w:rFonts w:cs="Arial" w:ascii="Arial" w:hAnsi="Arial"/>
                <w:b/>
                <w:bCs/>
                <w:sz w:val="22"/>
                <w:szCs w:val="22"/>
              </w:rPr>
              <w:t>Process the Sample for the Cystatin C Assay</w:t>
            </w:r>
          </w:p>
          <w:p>
            <w:pPr>
              <w:pStyle w:val="Default"/>
              <w:rPr>
                <w:rFonts w:ascii="Arial" w:hAnsi="Arial" w:cs="Arial"/>
                <w:i/>
                <w:i/>
                <w:iCs/>
                <w:sz w:val="22"/>
                <w:szCs w:val="22"/>
              </w:rPr>
            </w:pPr>
            <w:r>
              <w:rPr>
                <w:rFonts w:cs="Arial" w:ascii="Arial" w:hAnsi="Arial"/>
                <w:i/>
                <w:iCs/>
                <w:sz w:val="22"/>
                <w:szCs w:val="22"/>
              </w:rPr>
              <w:t xml:space="preserve">Editor's Note:  Please review chapter 8 of the Laboratory Procedures Manual from the National Health and Nutrition Examination Survey 2007-2008 for a full description of Blood Processing procedures: </w:t>
            </w:r>
            <w:r>
              <w:rPr>
                <w:rFonts w:cs="Arial" w:ascii="Arial" w:hAnsi="Arial"/>
                <w:sz w:val="20"/>
                <w:szCs w:val="20"/>
                <w:highlight w:val="white"/>
              </w:rPr>
              <w:t>[link[ 2007-2008 NHANES Lab Manual | NHANES_Lab_Manual.pdf ]]</w:t>
            </w:r>
            <w:r>
              <w:rPr>
                <w:rFonts w:cs="Arial" w:ascii="Arial" w:hAnsi="Arial"/>
                <w:i/>
                <w:iCs/>
                <w:sz w:val="22"/>
                <w:szCs w:val="22"/>
              </w:rPr>
              <w:t xml:space="preserve">.  </w:t>
            </w:r>
          </w:p>
          <w:p>
            <w:pPr>
              <w:pStyle w:val="Normal"/>
              <w:rPr>
                <w:rFonts w:ascii="Arial" w:hAnsi="Arial" w:cs="Arial"/>
                <w:b/>
                <w:b/>
                <w:bCs/>
                <w:i/>
                <w:i/>
                <w:iCs/>
                <w:sz w:val="22"/>
                <w:szCs w:val="22"/>
              </w:rPr>
            </w:pPr>
            <w:r>
              <w:rPr>
                <w:rFonts w:cs="Arial" w:ascii="Arial" w:hAnsi="Arial"/>
                <w:b/>
                <w:bCs/>
                <w:i/>
                <w:iCs/>
                <w:sz w:val="22"/>
                <w:szCs w:val="22"/>
              </w:rPr>
            </w:r>
          </w:p>
          <w:p>
            <w:pPr>
              <w:pStyle w:val="Normal"/>
              <w:numPr>
                <w:ilvl w:val="0"/>
                <w:numId w:val="3"/>
              </w:numPr>
              <w:tabs>
                <w:tab w:val="clear" w:pos="720"/>
                <w:tab w:val="left" w:pos="396" w:leader="none"/>
              </w:tabs>
              <w:ind w:left="396" w:hanging="360"/>
              <w:rPr>
                <w:rFonts w:ascii="Arial" w:hAnsi="Arial" w:cs="Arial"/>
                <w:sz w:val="22"/>
                <w:szCs w:val="22"/>
              </w:rPr>
            </w:pPr>
            <w:r>
              <w:rPr>
                <w:rFonts w:cs="Arial" w:ascii="Arial" w:hAnsi="Arial"/>
                <w:sz w:val="22"/>
                <w:szCs w:val="22"/>
              </w:rPr>
              <w:t xml:space="preserve">Allow the blood to clot by setting aside for 30 to 45 minutes at room temperature.  Do not clot for more than an hour.  </w:t>
            </w:r>
          </w:p>
          <w:p>
            <w:pPr>
              <w:pStyle w:val="Normal"/>
              <w:numPr>
                <w:ilvl w:val="0"/>
                <w:numId w:val="3"/>
              </w:numPr>
              <w:tabs>
                <w:tab w:val="clear" w:pos="720"/>
                <w:tab w:val="left" w:pos="396" w:leader="none"/>
              </w:tabs>
              <w:ind w:left="396" w:hanging="360"/>
              <w:rPr>
                <w:rFonts w:ascii="Arial" w:hAnsi="Arial" w:cs="Arial"/>
                <w:sz w:val="22"/>
                <w:szCs w:val="22"/>
              </w:rPr>
            </w:pPr>
            <w:r>
              <w:rPr>
                <w:rFonts w:cs="Arial" w:ascii="Arial" w:hAnsi="Arial"/>
                <w:sz w:val="22"/>
                <w:szCs w:val="22"/>
              </w:rPr>
              <w:t>Centrifuge the tube at room temperature to separate the serum and aliquot into an appropriate storage tube.</w:t>
            </w:r>
          </w:p>
          <w:p>
            <w:pPr>
              <w:pStyle w:val="Normal"/>
              <w:numPr>
                <w:ilvl w:val="0"/>
                <w:numId w:val="3"/>
              </w:numPr>
              <w:tabs>
                <w:tab w:val="clear" w:pos="720"/>
                <w:tab w:val="left" w:pos="396" w:leader="none"/>
              </w:tabs>
              <w:ind w:left="396" w:hanging="360"/>
              <w:rPr>
                <w:rFonts w:ascii="Arial" w:hAnsi="Arial" w:cs="Arial"/>
                <w:sz w:val="22"/>
                <w:szCs w:val="22"/>
              </w:rPr>
            </w:pPr>
            <w:r>
              <w:rPr>
                <w:rFonts w:cs="Arial" w:ascii="Arial" w:hAnsi="Arial"/>
                <w:sz w:val="22"/>
                <w:szCs w:val="22"/>
              </w:rPr>
              <w:t>Determine if the serum is hemolyzed, turbid, lipemic, or icteric.  If so, enter a comment to describe the plasma.</w:t>
            </w:r>
          </w:p>
          <w:p>
            <w:pPr>
              <w:pStyle w:val="Normal"/>
              <w:tabs>
                <w:tab w:val="clear" w:pos="720"/>
                <w:tab w:val="left" w:pos="396" w:leader="none"/>
              </w:tabs>
              <w:ind w:left="36" w:hanging="0"/>
              <w:rPr>
                <w:rFonts w:ascii="Arial" w:hAnsi="Arial" w:cs="Arial"/>
                <w:sz w:val="22"/>
                <w:szCs w:val="22"/>
              </w:rPr>
            </w:pPr>
            <w:r>
              <w:rPr>
                <w:rFonts w:cs="Arial" w:ascii="Arial" w:hAnsi="Arial"/>
                <w:sz w:val="22"/>
                <w:szCs w:val="22"/>
              </w:rPr>
            </w:r>
          </w:p>
          <w:p>
            <w:pPr>
              <w:pStyle w:val="Default"/>
              <w:rPr>
                <w:rFonts w:ascii="Arial" w:hAnsi="Arial" w:cs="Arial"/>
                <w:b/>
                <w:b/>
                <w:bCs/>
                <w:i/>
                <w:i/>
                <w:iCs/>
                <w:sz w:val="22"/>
                <w:szCs w:val="22"/>
              </w:rPr>
            </w:pPr>
            <w:r>
              <w:rPr>
                <w:rFonts w:cs="Arial" w:ascii="Arial" w:hAnsi="Arial"/>
                <w:b/>
                <w:bCs/>
                <w:i/>
                <w:iCs/>
                <w:sz w:val="22"/>
                <w:szCs w:val="22"/>
              </w:rPr>
            </w:r>
          </w:p>
          <w:p>
            <w:pPr>
              <w:pStyle w:val="Default"/>
              <w:rPr/>
            </w:pPr>
            <w:r>
              <w:rPr>
                <w:rFonts w:cs="Arial" w:ascii="Arial" w:hAnsi="Arial"/>
                <w:i/>
                <w:iCs/>
                <w:sz w:val="22"/>
                <w:szCs w:val="22"/>
              </w:rPr>
              <w:t>Note from the Diabetes Working Group: Serum should be stored at -80</w:t>
            </w:r>
            <w:r>
              <w:rPr>
                <w:rFonts w:eastAsia="Symbol" w:cs="Symbol" w:ascii="Symbol" w:hAnsi="Symbol"/>
                <w:i/>
                <w:iCs/>
                <w:sz w:val="22"/>
                <w:szCs w:val="22"/>
              </w:rPr>
              <w:t></w:t>
            </w:r>
            <w:r>
              <w:rPr>
                <w:rFonts w:cs="Arial" w:ascii="Arial" w:hAnsi="Arial"/>
                <w:i/>
                <w:iCs/>
                <w:sz w:val="22"/>
                <w:szCs w:val="22"/>
              </w:rPr>
              <w:t>C until testing and shipped on dry ice to prevent thawing.</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rPr>
            </w:pPr>
            <w:r>
              <w:rPr>
                <w:rFonts w:cs="Arial" w:ascii="Arial" w:hAnsi="Arial"/>
                <w:b/>
                <w:bCs/>
                <w:sz w:val="22"/>
                <w:szCs w:val="22"/>
              </w:rPr>
              <w:t>Laboratory Assay for Cystatin C</w:t>
            </w:r>
          </w:p>
          <w:p>
            <w:pPr>
              <w:pStyle w:val="Default"/>
              <w:rPr>
                <w:rFonts w:ascii="Arial" w:hAnsi="Arial" w:cs="Arial"/>
                <w:b/>
                <w:b/>
                <w:bCs/>
                <w:sz w:val="22"/>
                <w:szCs w:val="22"/>
              </w:rPr>
            </w:pPr>
            <w:r>
              <w:rPr>
                <w:rFonts w:cs="Arial" w:ascii="Arial" w:hAnsi="Arial"/>
                <w:b/>
                <w:bCs/>
                <w:sz w:val="22"/>
                <w:szCs w:val="22"/>
              </w:rPr>
            </w:r>
          </w:p>
          <w:p>
            <w:pPr>
              <w:pStyle w:val="Normal"/>
              <w:ind w:left="36" w:hanging="0"/>
              <w:rPr>
                <w:rFonts w:ascii="Arial" w:hAnsi="Arial" w:cs="Arial"/>
                <w:sz w:val="22"/>
                <w:szCs w:val="22"/>
              </w:rPr>
            </w:pPr>
            <w:r>
              <w:rPr>
                <w:rFonts w:cs="Arial" w:ascii="Arial" w:hAnsi="Arial"/>
                <w:sz w:val="22"/>
                <w:szCs w:val="22"/>
              </w:rPr>
              <w:t xml:space="preserve">The Diabetes Working Groups notes that although there is not a standardized assay, there are many different kits which are appropriate to measure the concentration of cystatin C in serum.  Once an assay is chosen for a particular study, the Working Group recommends that no changes in the protocol be made over the course of the study. </w:t>
            </w:r>
          </w:p>
          <w:p>
            <w:pPr>
              <w:pStyle w:val="Normal"/>
              <w:ind w:left="36" w:hanging="0"/>
              <w:rPr>
                <w:rFonts w:ascii="Arial" w:hAnsi="Arial" w:cs="Arial"/>
                <w:sz w:val="22"/>
                <w:szCs w:val="22"/>
              </w:rPr>
            </w:pPr>
            <w:r>
              <w:rPr>
                <w:rFonts w:cs="Arial" w:ascii="Arial" w:hAnsi="Arial"/>
                <w:sz w:val="22"/>
                <w:szCs w:val="22"/>
              </w:rPr>
            </w:r>
          </w:p>
          <w:p>
            <w:pPr>
              <w:pStyle w:val="Normal"/>
              <w:ind w:left="36" w:hanging="0"/>
              <w:rPr>
                <w:rFonts w:ascii="Arial" w:hAnsi="Arial" w:cs="Arial"/>
                <w:i/>
                <w:i/>
                <w:iCs/>
                <w:sz w:val="22"/>
                <w:szCs w:val="22"/>
              </w:rPr>
            </w:pPr>
            <w:r>
              <w:rPr>
                <w:rFonts w:cs="Arial" w:ascii="Arial" w:hAnsi="Arial"/>
                <w:sz w:val="22"/>
                <w:szCs w:val="22"/>
              </w:rPr>
              <w:t>To aid comparability, the Diabetes Working Group recommends that the investigator record the make and manufacturer of equipment used and the repeatability and coefficients of variation for the assay</w:t>
            </w:r>
            <w:r>
              <w:rPr>
                <w:rFonts w:cs="Arial" w:ascii="Arial" w:hAnsi="Arial"/>
                <w:i/>
                <w:iCs/>
                <w:sz w:val="22"/>
                <w:szCs w:val="22"/>
              </w:rPr>
              <w:t>.</w:t>
            </w:r>
          </w:p>
          <w:p>
            <w:pPr>
              <w:pStyle w:val="Normal"/>
              <w:ind w:left="36" w:hanging="0"/>
              <w:rPr>
                <w:rFonts w:ascii="Arial" w:hAnsi="Arial" w:cs="Arial"/>
                <w:i/>
                <w:i/>
                <w:iCs/>
                <w:sz w:val="22"/>
                <w:szCs w:val="22"/>
              </w:rPr>
            </w:pPr>
            <w:r>
              <w:rPr>
                <w:rFonts w:cs="Arial" w:ascii="Arial" w:hAnsi="Arial"/>
                <w:i/>
                <w:iCs/>
                <w:sz w:val="22"/>
                <w:szCs w:val="22"/>
              </w:rPr>
            </w:r>
          </w:p>
          <w:p>
            <w:pPr>
              <w:pStyle w:val="Normal"/>
              <w:ind w:left="36" w:hanging="0"/>
              <w:rPr>
                <w:rFonts w:ascii="Arial" w:hAnsi="Arial" w:cs="Arial"/>
                <w:b/>
                <w:b/>
                <w:bCs/>
                <w:sz w:val="22"/>
                <w:szCs w:val="22"/>
              </w:rPr>
            </w:pPr>
            <w:r>
              <w:rPr>
                <w:rFonts w:cs="Arial" w:ascii="Arial" w:hAnsi="Arial"/>
                <w:b/>
                <w:bCs/>
                <w:sz w:val="22"/>
                <w:szCs w:val="22"/>
              </w:rPr>
              <w:t>Reference Ranges</w:t>
            </w:r>
          </w:p>
          <w:p>
            <w:pPr>
              <w:pStyle w:val="Normal"/>
              <w:ind w:left="36" w:hanging="0"/>
              <w:rPr>
                <w:rFonts w:ascii="Arial" w:hAnsi="Arial" w:cs="Arial"/>
                <w:sz w:val="22"/>
                <w:szCs w:val="22"/>
              </w:rPr>
            </w:pPr>
            <w:r>
              <w:rPr>
                <w:rFonts w:cs="Arial" w:ascii="Arial" w:hAnsi="Arial"/>
                <w:sz w:val="22"/>
                <w:szCs w:val="22"/>
              </w:rPr>
              <w:t>Cystatin C ranges between 0.57 - 1.12 mg/L</w:t>
            </w:r>
          </w:p>
          <w:p>
            <w:pPr>
              <w:pStyle w:val="Normal"/>
              <w:ind w:left="36" w:hanging="0"/>
              <w:rPr>
                <w:rFonts w:ascii="Arial" w:hAnsi="Arial" w:cs="Arial"/>
                <w:sz w:val="22"/>
                <w:szCs w:val="22"/>
              </w:rPr>
            </w:pPr>
            <w:r>
              <w:rPr>
                <w:rFonts w:cs="Arial" w:ascii="Arial" w:hAnsi="Arial"/>
                <w:sz w:val="22"/>
                <w:szCs w:val="22"/>
              </w:rPr>
            </w:r>
          </w:p>
          <w:p>
            <w:pPr>
              <w:pStyle w:val="Normal"/>
              <w:ind w:left="36" w:hanging="0"/>
              <w:rPr>
                <w:rFonts w:ascii="Arial" w:hAnsi="Arial" w:cs="Arial"/>
                <w:sz w:val="22"/>
                <w:szCs w:val="22"/>
              </w:rPr>
            </w:pPr>
            <w:r>
              <w:rPr>
                <w:rFonts w:cs="Arial" w:ascii="Arial" w:hAnsi="Arial"/>
                <w:sz w:val="22"/>
                <w:szCs w:val="22"/>
              </w:rPr>
            </w:r>
          </w:p>
          <w:p>
            <w:pPr>
              <w:pStyle w:val="Normal"/>
              <w:rPr/>
            </w:pPr>
            <w:r>
              <w:rPr>
                <w:rFonts w:cs="Arial" w:ascii="Arial" w:hAnsi="Arial"/>
                <w:b/>
                <w:bCs/>
                <w:sz w:val="22"/>
                <w:szCs w:val="22"/>
              </w:rPr>
              <w:t>Estimated Glomerular Filtration Rate:</w:t>
            </w:r>
          </w:p>
          <w:p>
            <w:pPr>
              <w:pStyle w:val="Normal"/>
              <w:rPr>
                <w:rFonts w:ascii="Arial" w:hAnsi="Arial" w:cs="Arial"/>
                <w:b/>
                <w:b/>
                <w:bCs/>
                <w:sz w:val="22"/>
                <w:szCs w:val="22"/>
              </w:rPr>
            </w:pPr>
            <w:r>
              <w:rPr>
                <w:rFonts w:cs="Arial" w:ascii="Arial" w:hAnsi="Arial"/>
                <w:b/>
                <w:bCs/>
                <w:sz w:val="22"/>
                <w:szCs w:val="22"/>
              </w:rPr>
            </w:r>
          </w:p>
          <w:p>
            <w:pPr>
              <w:pStyle w:val="Normal"/>
              <w:rPr/>
            </w:pPr>
            <w:r>
              <w:rPr>
                <w:rFonts w:cs="Arial" w:ascii="Arial" w:hAnsi="Arial"/>
                <w:sz w:val="22"/>
                <w:szCs w:val="22"/>
              </w:rPr>
              <w:t xml:space="preserve">estimated Glomerular Filtration Rate = 127.7 X Cystatin C </w:t>
            </w:r>
            <w:r>
              <w:rPr>
                <w:rFonts w:cs="Arial" w:ascii="Arial" w:hAnsi="Arial"/>
                <w:sz w:val="22"/>
                <w:szCs w:val="22"/>
                <w:vertAlign w:val="superscript"/>
              </w:rPr>
              <w:t>-1.17</w:t>
            </w:r>
            <w:r>
              <w:rPr>
                <w:rFonts w:cs="Arial" w:ascii="Arial" w:hAnsi="Arial"/>
                <w:sz w:val="22"/>
                <w:szCs w:val="22"/>
              </w:rPr>
              <w:t xml:space="preserve"> X Age </w:t>
            </w:r>
            <w:r>
              <w:rPr>
                <w:rFonts w:cs="Arial" w:ascii="Arial" w:hAnsi="Arial"/>
                <w:sz w:val="22"/>
                <w:szCs w:val="22"/>
                <w:vertAlign w:val="superscript"/>
              </w:rPr>
              <w:t>-0.13</w:t>
            </w:r>
            <w:r>
              <w:rPr>
                <w:rFonts w:cs="Arial" w:ascii="Arial" w:hAnsi="Arial"/>
                <w:sz w:val="22"/>
                <w:szCs w:val="22"/>
              </w:rPr>
              <w:t xml:space="preserve"> X [0.91 </w:t>
            </w:r>
            <w:r>
              <w:rPr>
                <w:rFonts w:cs="Arial" w:ascii="Arial" w:hAnsi="Arial"/>
                <w:i/>
                <w:iCs/>
                <w:sz w:val="22"/>
                <w:szCs w:val="22"/>
              </w:rPr>
              <w:t>if Female</w:t>
            </w:r>
            <w:r>
              <w:rPr>
                <w:rFonts w:cs="Arial" w:ascii="Arial" w:hAnsi="Arial"/>
                <w:sz w:val="22"/>
                <w:szCs w:val="22"/>
              </w:rPr>
              <w:t xml:space="preserve">] X [1.06 </w:t>
            </w:r>
            <w:r>
              <w:rPr>
                <w:rFonts w:cs="Arial" w:ascii="Arial" w:hAnsi="Arial"/>
                <w:i/>
                <w:iCs/>
                <w:sz w:val="22"/>
                <w:szCs w:val="22"/>
              </w:rPr>
              <w:t>if African American</w:t>
            </w:r>
            <w:r>
              <w:rPr>
                <w:rFonts w:cs="Arial" w:ascii="Arial" w:hAnsi="Arial"/>
                <w:sz w:val="22"/>
                <w:szCs w:val="22"/>
              </w:rPr>
              <w:t>]</w:t>
            </w:r>
          </w:p>
          <w:p>
            <w:pPr>
              <w:pStyle w:val="Normal"/>
              <w:rPr>
                <w:rFonts w:ascii="Arial" w:hAnsi="Arial" w:cs="Arial"/>
                <w:sz w:val="22"/>
                <w:szCs w:val="22"/>
              </w:rPr>
            </w:pPr>
            <w:r>
              <w:rPr>
                <w:rFonts w:cs="Arial" w:ascii="Arial" w:hAnsi="Arial"/>
                <w:sz w:val="22"/>
                <w:szCs w:val="22"/>
              </w:rPr>
            </w:r>
          </w:p>
          <w:p>
            <w:pPr>
              <w:pStyle w:val="Normal"/>
              <w:ind w:left="36" w:hanging="0"/>
              <w:rPr>
                <w:rFonts w:ascii="Arial" w:hAnsi="Arial" w:cs="Arial"/>
                <w:sz w:val="22"/>
                <w:szCs w:val="22"/>
              </w:rPr>
            </w:pPr>
            <w:r>
              <w:rPr>
                <w:rFonts w:cs="Arial" w:ascii="Arial" w:hAnsi="Arial"/>
                <w:sz w:val="22"/>
                <w:szCs w:val="22"/>
              </w:rPr>
              <w:t xml:space="preserve">Stevens, LA, Coresh, J, Schmid, CH, Feldman, HI, Froissart, M, Kusek, J, Rossert, J, Van Lente, F, Bruce, RD, Zhang, Y, Greene, T, &amp; Levey, AS. (2008). Estimating GFR using serum cystatin c alone and in combination with serum creatinine: a pooled analysis of 3,418 individuals with CKD. </w:t>
            </w:r>
            <w:r>
              <w:rPr>
                <w:rFonts w:cs="Arial" w:ascii="Arial" w:hAnsi="Arial"/>
                <w:i/>
                <w:sz w:val="22"/>
                <w:szCs w:val="22"/>
              </w:rPr>
              <w:t>American Journal of Kidney Diseases.</w:t>
            </w:r>
            <w:r>
              <w:rPr>
                <w:rFonts w:cs="Arial" w:ascii="Arial" w:hAnsi="Arial"/>
                <w:iCs/>
                <w:sz w:val="22"/>
                <w:szCs w:val="22"/>
              </w:rPr>
              <w:t xml:space="preserve"> 51(3), 395-406.</w:t>
            </w:r>
          </w:p>
          <w:p>
            <w:pPr>
              <w:pStyle w:val="Normal"/>
              <w:ind w:left="36" w:hanging="0"/>
              <w:rPr>
                <w:rFonts w:ascii="Arial" w:hAnsi="Arial" w:cs="Arial"/>
                <w:sz w:val="22"/>
                <w:szCs w:val="22"/>
              </w:rPr>
            </w:pPr>
            <w:r>
              <w:rPr>
                <w:rFonts w:cs="Arial" w:ascii="Arial" w:hAnsi="Arial"/>
                <w:sz w:val="22"/>
                <w:szCs w:val="22"/>
              </w:rPr>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16"/>
                <w:szCs w:val="16"/>
              </w:rPr>
            </w:pPr>
            <w:r>
              <w:rPr>
                <w:rFonts w:cs="Arial" w:ascii="Arial" w:hAnsi="Arial"/>
                <w:b/>
                <w:sz w:val="22"/>
                <w:szCs w:val="22"/>
              </w:rPr>
              <w:t>Participant:</w:t>
              <w:br/>
              <w:br/>
            </w:r>
            <w:r>
              <w:rPr>
                <w:rFonts w:cs="Arial" w:ascii="Arial" w:hAnsi="Arial"/>
                <w:bCs/>
                <w:sz w:val="16"/>
                <w:szCs w:val="16"/>
              </w:rPr>
              <w:t>(included in Community Outreach and Supplemental Information)</w:t>
            </w:r>
          </w:p>
        </w:tc>
        <w:tc>
          <w:tcPr>
            <w:tcW w:w="861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Participant 6 years of age or older.</w:t>
            </w:r>
          </w:p>
        </w:tc>
      </w:tr>
      <w:tr>
        <w:trPr>
          <w:trHeight w:val="109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 xml:space="preserve">Source: </w:t>
              <w:br/>
              <w:br/>
            </w:r>
            <w:r>
              <w:rPr>
                <w:rFonts w:cs="Arial" w:ascii="Arial" w:hAnsi="Arial"/>
                <w:bCs/>
                <w:sz w:val="16"/>
                <w:szCs w:val="16"/>
              </w:rPr>
              <w:t>(included in Community Outreach and Supplemental Information)</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Centers for Disease Control and Prevention (CDC). National Center for Health Statistics (NCHS). National Health and Nutrition Examination Survey Questionnaire. Laboratory Procedures Manual. Hyattsville, MD: U.S. Department of Health and Human Services, Centers for Disease Control and Prevention, 2007.</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2"/>
                <w:szCs w:val="22"/>
              </w:rPr>
            </w:pPr>
            <w:r>
              <w:rPr>
                <w:rFonts w:cs="Arial" w:ascii="Arial" w:hAnsi="Arial"/>
                <w:sz w:val="22"/>
                <w:szCs w:val="22"/>
              </w:rPr>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b/>
                <w:b/>
                <w:sz w:val="22"/>
                <w:szCs w:val="22"/>
              </w:rPr>
            </w:pPr>
            <w:r>
              <w:rPr>
                <w:rFonts w:cs="Arial" w:ascii="Arial" w:hAnsi="Arial"/>
                <w:b/>
                <w:sz w:val="22"/>
                <w:szCs w:val="22"/>
              </w:rPr>
              <w:t xml:space="preserve">Personnel and Training Required: </w:t>
              <w:br/>
            </w:r>
            <w:r>
              <w:rPr>
                <w:rFonts w:cs="Arial" w:ascii="Arial" w:hAnsi="Arial"/>
                <w:b/>
                <w:sz w:val="16"/>
                <w:szCs w:val="16"/>
              </w:rPr>
              <w:br/>
            </w:r>
            <w:r>
              <w:rPr>
                <w:rFonts w:cs="Arial" w:ascii="Arial" w:hAnsi="Arial"/>
                <w:bCs/>
                <w:sz w:val="16"/>
                <w:szCs w:val="16"/>
              </w:rPr>
              <w:t>(included in Supplemental Information)</w:t>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Phlebotomist</w:t>
            </w:r>
          </w:p>
          <w:p>
            <w:pPr>
              <w:pStyle w:val="Normal"/>
              <w:rPr>
                <w:rFonts w:ascii="Arial" w:hAnsi="Arial" w:cs="Arial"/>
                <w:sz w:val="22"/>
                <w:szCs w:val="22"/>
              </w:rPr>
            </w:pPr>
            <w:r>
              <w:rPr>
                <w:rFonts w:cs="Arial" w:ascii="Arial" w:hAnsi="Arial"/>
                <w:sz w:val="22"/>
                <w:szCs w:val="22"/>
              </w:rPr>
              <w:t>Laboratory that can perform the cystatin c assay</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b/>
                <w:b/>
                <w:sz w:val="22"/>
                <w:szCs w:val="22"/>
              </w:rPr>
            </w:pPr>
            <w:r>
              <w:rPr>
                <w:rFonts w:cs="Arial" w:ascii="Arial" w:hAnsi="Arial"/>
                <w:b/>
                <w:sz w:val="22"/>
                <w:szCs w:val="22"/>
              </w:rPr>
              <w:t>Equipment Needs:</w:t>
              <w:br/>
              <w:br/>
            </w:r>
            <w:r>
              <w:rPr>
                <w:rFonts w:cs="Arial" w:ascii="Arial" w:hAnsi="Arial"/>
                <w:bCs/>
                <w:sz w:val="16"/>
                <w:szCs w:val="16"/>
              </w:rPr>
              <w:t>(included in Supplemental Information)</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Phlebotomy supplies</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b/>
                <w:b/>
                <w:sz w:val="16"/>
                <w:szCs w:val="16"/>
              </w:rPr>
            </w:pPr>
            <w:r>
              <w:rPr>
                <w:rFonts w:cs="Arial" w:ascii="Arial" w:hAnsi="Arial"/>
                <w:b/>
                <w:sz w:val="22"/>
                <w:szCs w:val="22"/>
              </w:rPr>
              <w:t xml:space="preserve">General References: </w:t>
              <w:br/>
              <w:br/>
            </w:r>
            <w:r>
              <w:rPr>
                <w:rFonts w:cs="Arial" w:ascii="Arial" w:hAnsi="Arial"/>
                <w:bCs/>
                <w:sz w:val="16"/>
                <w:szCs w:val="16"/>
              </w:rPr>
              <w:t>(included in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iCs/>
                <w:sz w:val="22"/>
                <w:szCs w:val="22"/>
              </w:rPr>
            </w:pPr>
            <w:r>
              <w:rPr>
                <w:rFonts w:cs="Arial" w:ascii="Arial" w:hAnsi="Arial"/>
                <w:sz w:val="22"/>
                <w:szCs w:val="22"/>
              </w:rPr>
              <w:t xml:space="preserve">Stevens, LA, Coresh, J, Schmid, CH, Feldman, HI, Froissart, M, Kusek, J, Rossert, J, Van Lente, F, Bruce, RD, Zhang, Y, Greene, T, &amp; Levey, AS. (2008). Estimating GFR using serum cystatin c alone and in combination with serum creatinine: a pooled analysis of 3,418 individuals with CKD. </w:t>
            </w:r>
            <w:r>
              <w:rPr>
                <w:rFonts w:cs="Arial" w:ascii="Arial" w:hAnsi="Arial"/>
                <w:i/>
                <w:sz w:val="22"/>
                <w:szCs w:val="22"/>
              </w:rPr>
              <w:t>American Journal of Kidney Diseases.</w:t>
            </w:r>
            <w:r>
              <w:rPr>
                <w:rFonts w:cs="Arial" w:ascii="Arial" w:hAnsi="Arial"/>
                <w:iCs/>
                <w:sz w:val="22"/>
                <w:szCs w:val="22"/>
              </w:rPr>
              <w:t xml:space="preserve"> 51(3), 395-406.</w:t>
            </w:r>
          </w:p>
          <w:p>
            <w:pPr>
              <w:pStyle w:val="Normal"/>
              <w:rPr>
                <w:rFonts w:ascii="Arial" w:hAnsi="Arial" w:cs="Arial"/>
                <w:iCs/>
                <w:sz w:val="22"/>
                <w:szCs w:val="22"/>
              </w:rPr>
            </w:pPr>
            <w:r>
              <w:rPr>
                <w:rFonts w:cs="Arial" w:ascii="Arial" w:hAnsi="Arial"/>
                <w:iCs/>
                <w:sz w:val="22"/>
                <w:szCs w:val="22"/>
              </w:rPr>
            </w:r>
          </w:p>
          <w:p>
            <w:pPr>
              <w:pStyle w:val="Normal"/>
              <w:rPr>
                <w:rFonts w:ascii="Arial" w:hAnsi="Arial" w:cs="Arial"/>
                <w:sz w:val="22"/>
                <w:szCs w:val="22"/>
              </w:rPr>
            </w:pPr>
            <w:r>
              <w:rPr>
                <w:rFonts w:cs="Arial" w:ascii="Arial" w:hAnsi="Arial"/>
                <w:sz w:val="22"/>
                <w:szCs w:val="22"/>
              </w:rPr>
              <w:t>Köttgen A, Glazer NL, Dehghan A, Hwang SJ, Katz R, Li M, Yang Q, Gudnason V, Launer LJ, Harris TB, Smith AV, Arking DE, Astor BC, Boerwinkle E, Ehret GB, Ruczinski I, Scharpf RB, Ida Chen YD, de Boer IH, Haritunians T, Lumley T, Sarnak M, Siscovick D, Benjamin EJ, Levy D, Upadhyay A, Aulchenko YS, Hofman A, Rivadeneira F, Uitterlinden AG, van Duijn CM, Chasman DI, Paré G, Ridker PM, Kao WH, Witteman JC, Coresh J, Shlipak MG, &amp; Fox CS. (2009).  Multiple loci associated with indices of renal function and chronic kidney disease. Nature Genetics.  41(6), 712-717</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Arial" w:ascii="Arial" w:hAnsi="Arial"/>
        <w:sz w:val="18"/>
        <w:szCs w:val="18"/>
      </w:rPr>
      <w:t>Version 10 – 10/21/09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u w:val="single"/>
      </w:rPr>
    </w:pPr>
    <w:r>
      <w:rPr>
        <w:rFonts w:cs="Arial" w:ascii="Arial" w:hAnsi="Arial"/>
        <w:b/>
        <w:sz w:val="20"/>
        <w:szCs w:val="20"/>
        <w:u w:val="single"/>
      </w:rPr>
      <w:t>Cystatin C Assay for Kidney Function</w:t>
    </w:r>
    <w:r>
      <w:rPr>
        <w:rFonts w:cs="Arial" w:ascii="Arial" w:hAnsi="Arial"/>
        <w:b/>
        <w:sz w:val="20"/>
        <w:szCs w:val="20"/>
      </w:rPr>
      <w:t xml:space="preserve">                                                                  Date of SC final approval</w:t>
    </w:r>
  </w:p>
  <w:p>
    <w:pPr>
      <w:pStyle w:val="Header"/>
      <w:rPr>
        <w:rFonts w:ascii="Arial" w:hAnsi="Arial" w:cs="Arial"/>
        <w:b/>
        <w:b/>
        <w:sz w:val="20"/>
        <w:szCs w:val="20"/>
        <w:u w:val="single"/>
      </w:rPr>
    </w:pPr>
    <w:r>
      <w:rPr>
        <w:rFonts w:cs="Arial" w:ascii="Arial" w:hAnsi="Arial"/>
        <w:b/>
        <w:sz w:val="20"/>
        <w:szCs w:val="20"/>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720" w:hanging="360"/>
      </w:pPr>
      <w:rPr>
        <w:rFonts w:ascii="Symbol" w:hAnsi="Symbol" w:cs="Symbol" w:hint="default"/>
      </w:rPr>
    </w:lvl>
  </w:abstractNum>
  <w:abstractNum w:abstractNumId="3">
    <w:lvl w:ilvl="0">
      <w:start w:val="1"/>
      <w:numFmt w:val="bullet"/>
      <w:lvlText w:val=""/>
      <w:lvlJc w:val="left"/>
      <w:pPr>
        <w:tabs>
          <w:tab w:val="num" w:pos="2160"/>
        </w:tabs>
        <w:ind w:left="25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Default"/>
    <w:next w:val="Default"/>
    <w:qFormat/>
    <w:pPr>
      <w:numPr>
        <w:ilvl w:val="1"/>
        <w:numId w:val="1"/>
      </w:numPr>
      <w:outlineLvl w:val="1"/>
    </w:pPr>
    <w:rPr>
      <w:rFonts w:ascii="Arial" w:hAnsi="Arial" w:cs="Arial"/>
      <w:color w:val="00000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rFonts w:ascii="Symbol" w:hAnsi="Symbol" w:cs="Symbol"/>
    </w:rPr>
  </w:style>
  <w:style w:type="character" w:styleId="WW8Num10z0">
    <w:name w:val="WW8Num10z0"/>
    <w:qFormat/>
    <w:rPr/>
  </w:style>
  <w:style w:type="character" w:styleId="WW8Num10z2">
    <w:name w:val="WW8Num10z2"/>
    <w:qFormat/>
    <w:rPr>
      <w:rFonts w:ascii="Symbol" w:hAnsi="Symbol" w:cs="Symbol"/>
    </w:rPr>
  </w:style>
  <w:style w:type="character" w:styleId="WW8Num10z7">
    <w:name w:val="WW8Num10z7"/>
    <w:qFormat/>
    <w:rPr>
      <w:rFonts w:ascii="Courier New" w:hAnsi="Courier New" w:cs="Courier New"/>
    </w:rPr>
  </w:style>
  <w:style w:type="character" w:styleId="WW8Num10z8">
    <w:name w:val="WW8Num10z8"/>
    <w:qFormat/>
    <w:rPr>
      <w:rFonts w:ascii="Wingdings" w:hAnsi="Wingdings" w:cs="Wingdings"/>
    </w:rPr>
  </w:style>
  <w:style w:type="character" w:styleId="WW8Num11z1">
    <w:name w:val="WW8Num11z1"/>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1">
    <w:name w:val="WW8Num14z1"/>
    <w:qFormat/>
    <w:rPr>
      <w:rFonts w:ascii="Symbol" w:hAnsi="Symbol" w:cs="Symbol"/>
    </w:rPr>
  </w:style>
  <w:style w:type="character" w:styleId="WW8Num17z0">
    <w:name w:val="WW8Num17z0"/>
    <w:qFormat/>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Whuggins">
    <w:name w:val="whuggins"/>
    <w:basedOn w:val="DefaultParagraphFont"/>
    <w:qFormat/>
    <w:rPr>
      <w:rFonts w:ascii="Arial" w:hAnsi="Arial" w:cs="Arial"/>
      <w:color w:val="000080"/>
      <w:sz w:val="20"/>
      <w:szCs w:val="20"/>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CM35">
    <w:name w:val="CM35"/>
    <w:basedOn w:val="Default"/>
    <w:next w:val="Default"/>
    <w:qFormat/>
    <w:pPr/>
    <w:rPr>
      <w:color w:val="000000"/>
    </w:rPr>
  </w:style>
  <w:style w:type="paragraph" w:styleId="CM31">
    <w:name w:val="CM31"/>
    <w:basedOn w:val="Default"/>
    <w:next w:val="Default"/>
    <w:qFormat/>
    <w:pPr/>
    <w:rPr>
      <w:color w:val="000000"/>
    </w:rPr>
  </w:style>
  <w:style w:type="paragraph" w:styleId="CM189">
    <w:name w:val="CM189"/>
    <w:basedOn w:val="Default"/>
    <w:next w:val="Default"/>
    <w:qFormat/>
    <w:pPr/>
    <w:rPr>
      <w:color w:val="000000"/>
    </w:rPr>
  </w:style>
  <w:style w:type="paragraph" w:styleId="CM196">
    <w:name w:val="CM196"/>
    <w:basedOn w:val="Default"/>
    <w:next w:val="Default"/>
    <w:qFormat/>
    <w:pPr/>
    <w:rPr>
      <w:color w:val="000000"/>
    </w:rPr>
  </w:style>
  <w:style w:type="paragraph" w:styleId="CM194">
    <w:name w:val="CM194"/>
    <w:basedOn w:val="Default"/>
    <w:next w:val="Default"/>
    <w:qFormat/>
    <w:pPr/>
    <w:rPr>
      <w:color w:val="000000"/>
    </w:rPr>
  </w:style>
  <w:style w:type="paragraph" w:styleId="CM185">
    <w:name w:val="CM185"/>
    <w:basedOn w:val="Default"/>
    <w:next w:val="Default"/>
    <w:qFormat/>
    <w:pPr/>
    <w:rPr>
      <w:color w:val="000000"/>
    </w:rPr>
  </w:style>
  <w:style w:type="paragraph" w:styleId="Text1">
    <w:name w:val="Text 1"/>
    <w:basedOn w:val="Default"/>
    <w:next w:val="Default"/>
    <w:qFormat/>
    <w:pPr/>
    <w:rPr>
      <w:rFonts w:ascii="Arial" w:hAnsi="Arial" w:cs="Arial"/>
      <w:color w:val="000000"/>
    </w:rPr>
  </w:style>
  <w:style w:type="paragraph" w:styleId="PlainText">
    <w:name w:val="Plain Text"/>
    <w:basedOn w:val="Default"/>
    <w:next w:val="Default"/>
    <w:qFormat/>
    <w:pPr/>
    <w:rPr>
      <w:rFonts w:ascii="Arial" w:hAnsi="Arial" w:cs="Arial"/>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2010-04-16T17:50:00Z</dcterms:created>
  <dc:creator>mjp</dc:creator>
  <dc:description/>
  <cp:keywords/>
  <dc:language>en-US</dc:language>
  <cp:lastModifiedBy>whuggins</cp:lastModifiedBy>
  <cp:lastPrinted>2009-11-12T13:10:00Z</cp:lastPrinted>
  <dcterms:modified xsi:type="dcterms:W3CDTF">2010-04-16T17:50:00Z</dcterms:modified>
  <cp:revision>2</cp:revision>
  <dc:subject/>
  <dc:title>Birthplace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78910792</vt:r8>
  </property>
  <property fmtid="{D5CDD505-2E9C-101B-9397-08002B2CF9AE}" pid="3" name="_AuthorEmail">
    <vt:lpwstr>wharlan@starpower.net</vt:lpwstr>
  </property>
  <property fmtid="{D5CDD505-2E9C-101B-9397-08002B2CF9AE}" pid="4" name="_AuthorEmailDisplayName">
    <vt:lpwstr>William R. Harlan</vt:lpwstr>
  </property>
  <property fmtid="{D5CDD505-2E9C-101B-9397-08002B2CF9AE}" pid="5" name="_EmailSubject">
    <vt:lpwstr>Reminder-Please review the Diabetes datasheets by Thursday, February 18th </vt:lpwstr>
  </property>
  <property fmtid="{D5CDD505-2E9C-101B-9397-08002B2CF9AE}" pid="6" name="_ReviewingToolsShownOnce">
    <vt:lpwstr/>
  </property>
</Properties>
</file>