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Diabetes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Cystatin C Assay for Kidney Function</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 bioassay to measure serum concentration of cystatin C, a protein that is filtered out of the blood by the kidneys.</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This protocol provides instructions for drawing, processing and storing blood for the serum cystatin C assay according to the National Health and Nutrition Examination Survey (NHANES) methods.  As there are no standard assays for cystatin C, the protocol also provides basic guidelines to aid comparability among different studies. </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The Diabetes Working Group recommends that the cystatin C assay can be done in conjunction with serum creatinine to yield more information about kidney disease (Levey, 2014)</w:t>
            </w:r>
          </w:p>
          <w:p>
            <w:pPr>
              <w:pStyle w:val="Default"/>
              <w:rPr/>
            </w:pPr>
            <w:r>
              <w:rPr>
                <w:i/>
                <w:iCs/>
                <w:sz w:val="22"/>
                <w:szCs w:val="22"/>
              </w:rPr>
              <w:t>Note from the Diabetes Working Group:  The investigator should record the reason a sample person is excluded from the blood draw.</w:t>
            </w:r>
          </w:p>
          <w:p>
            <w:pPr>
              <w:pStyle w:val="Normal"/>
              <w:spacing w:before="0" w:after="0"/>
              <w:contextualSpacing/>
              <w:rPr>
                <w:rFonts w:ascii="Arial" w:hAnsi="Arial" w:cs="Arial"/>
                <w:i/>
                <w:i/>
                <w:iCs/>
                <w:sz w:val="22"/>
                <w:szCs w:val="22"/>
              </w:rPr>
            </w:pPr>
            <w:r>
              <w:rPr>
                <w:rFonts w:cs="Arial" w:ascii="Arial" w:hAnsi="Arial"/>
                <w:i/>
                <w:iCs/>
                <w:sz w:val="22"/>
                <w:szCs w:val="22"/>
              </w:rPr>
            </w:r>
          </w:p>
          <w:p>
            <w:pPr>
              <w:pStyle w:val="Default"/>
              <w:rPr>
                <w:rFonts w:ascii="Arial" w:hAnsi="Arial" w:cs="Arial"/>
                <w:i/>
                <w:i/>
                <w:iCs/>
                <w:sz w:val="22"/>
                <w:szCs w:val="22"/>
              </w:rPr>
            </w:pPr>
            <w:r>
              <w:rPr>
                <w:rFonts w:cs="Arial"/>
                <w:i/>
                <w:iCs/>
                <w:sz w:val="22"/>
                <w:szCs w:val="22"/>
              </w:rPr>
            </w:r>
          </w:p>
          <w:p>
            <w:pPr>
              <w:pStyle w:val="Default"/>
              <w:rPr>
                <w:sz w:val="22"/>
                <w:szCs w:val="22"/>
              </w:rPr>
            </w:pPr>
            <w:r>
              <w:rPr>
                <w:i/>
                <w:iCs/>
                <w:sz w:val="22"/>
                <w:szCs w:val="22"/>
              </w:rPr>
              <w:t>Note from the Diabetes Working Group:</w:t>
            </w:r>
            <w:r>
              <w:rPr>
                <w:b/>
                <w:bCs/>
                <w:i/>
                <w:iCs/>
                <w:sz w:val="22"/>
                <w:szCs w:val="22"/>
              </w:rPr>
              <w:t xml:space="preserve"> </w:t>
            </w:r>
            <w:r>
              <w:rPr>
                <w:i/>
                <w:iCs/>
                <w:sz w:val="22"/>
                <w:szCs w:val="22"/>
              </w:rPr>
              <w:t xml:space="preserve">Blood should be collected in an appropriate 5- or 10-mL red-top tube. </w:t>
            </w:r>
          </w:p>
          <w:p>
            <w:pPr>
              <w:pStyle w:val="Normal"/>
              <w:rPr>
                <w:rFonts w:ascii="Arial" w:hAnsi="Arial" w:cs="Arial"/>
                <w:i/>
                <w:i/>
                <w:iCs/>
                <w:sz w:val="22"/>
                <w:szCs w:val="22"/>
              </w:rPr>
            </w:pPr>
            <w:r>
              <w:rPr>
                <w:rFonts w:cs="Arial" w:ascii="Arial" w:hAnsi="Arial"/>
                <w:i/>
                <w:iCs/>
                <w:sz w:val="22"/>
                <w:szCs w:val="22"/>
              </w:rPr>
            </w:r>
          </w:p>
          <w:p>
            <w:pPr>
              <w:pStyle w:val="Normal"/>
              <w:rPr/>
            </w:pPr>
            <w:r>
              <w:rPr>
                <w:rFonts w:cs="Arial" w:ascii="Arial" w:hAnsi="Arial"/>
                <w:i/>
                <w:iCs/>
                <w:sz w:val="22"/>
                <w:szCs w:val="22"/>
              </w:rPr>
              <w:t>Note from the Diabetes Working Group:  The Diabetes Working Group recommends that the investigator record whether the blood was drawn and whether the full amount was obtained.</w:t>
            </w:r>
          </w:p>
          <w:p>
            <w:pPr>
              <w:pStyle w:val="Default"/>
              <w:rPr>
                <w:rFonts w:ascii="Arial" w:hAnsi="Arial" w:cs="Arial"/>
                <w:b/>
                <w:b/>
                <w:bCs/>
                <w:i/>
                <w:i/>
                <w:iCs/>
                <w:sz w:val="22"/>
                <w:szCs w:val="22"/>
              </w:rPr>
            </w:pPr>
            <w:r>
              <w:rPr>
                <w:rFonts w:cs="Arial"/>
                <w:b/>
                <w:bCs/>
                <w:i/>
                <w:iCs/>
                <w:sz w:val="22"/>
                <w:szCs w:val="22"/>
              </w:rPr>
            </w:r>
          </w:p>
          <w:p>
            <w:pPr>
              <w:pStyle w:val="Default"/>
              <w:rPr/>
            </w:pPr>
            <w:r>
              <w:rPr>
                <w:i/>
                <w:iCs/>
                <w:sz w:val="22"/>
                <w:szCs w:val="22"/>
              </w:rPr>
              <w:t>Note from the Diabetes Working Group: Serum should be stored at -80</w:t>
            </w:r>
            <w:r>
              <w:rPr>
                <w:rFonts w:eastAsia="Symbol" w:cs="Symbol" w:ascii="Symbol" w:hAnsi="Symbol"/>
                <w:i/>
                <w:iCs/>
                <w:sz w:val="22"/>
                <w:szCs w:val="22"/>
              </w:rPr>
              <w:t></w:t>
            </w:r>
            <w:r>
              <w:rPr>
                <w:i/>
                <w:iCs/>
                <w:sz w:val="22"/>
                <w:szCs w:val="22"/>
              </w:rPr>
              <w:t>C until testing and shipped on dry ice to prevent thawing.</w:t>
            </w:r>
          </w:p>
          <w:p>
            <w:pPr>
              <w:pStyle w:val="Normal"/>
              <w:rPr>
                <w:rFonts w:ascii="Arial" w:hAnsi="Arial" w:cs="Arial"/>
                <w:i/>
                <w:i/>
                <w:iCs/>
                <w:sz w:val="22"/>
                <w:szCs w:val="22"/>
              </w:rPr>
            </w:pPr>
            <w:r>
              <w:rPr>
                <w:rFonts w:cs="Arial" w:ascii="Arial" w:hAnsi="Arial"/>
                <w:i/>
                <w:iCs/>
                <w:sz w:val="22"/>
                <w:szCs w:val="22"/>
              </w:rPr>
            </w:r>
          </w:p>
          <w:p>
            <w:pPr>
              <w:pStyle w:val="Normal"/>
              <w:ind w:left="36" w:hanging="0"/>
              <w:rPr/>
            </w:pPr>
            <w:r>
              <w:rPr>
                <w:rFonts w:cs="Arial" w:ascii="Arial" w:hAnsi="Arial"/>
                <w:sz w:val="22"/>
                <w:szCs w:val="22"/>
              </w:rPr>
              <w:t>To aid comparability, the Diabetes Working Group recommends that the investigator record the make and manufacturer of equipment used and the repeatability and coefficients of variation for the assay</w:t>
            </w:r>
            <w:r>
              <w:rPr>
                <w:rFonts w:cs="Arial" w:ascii="Arial" w:hAnsi="Arial"/>
                <w:i/>
                <w:iCs/>
                <w:sz w:val="22"/>
                <w:szCs w:val="22"/>
              </w:rPr>
              <w:t>.</w:t>
            </w:r>
          </w:p>
          <w:p>
            <w:pPr>
              <w:pStyle w:val="Normal"/>
              <w:ind w:left="36" w:hanging="0"/>
              <w:rPr>
                <w:rFonts w:ascii="Arial" w:hAnsi="Arial" w:cs="Arial"/>
                <w:i/>
                <w:i/>
                <w:iCs/>
                <w:sz w:val="22"/>
                <w:szCs w:val="22"/>
              </w:rPr>
            </w:pPr>
            <w:r>
              <w:rPr>
                <w:rFonts w:cs="Arial" w:ascii="Arial" w:hAnsi="Arial"/>
                <w:i/>
                <w:iCs/>
                <w:sz w:val="22"/>
                <w:szCs w:val="22"/>
              </w:rPr>
            </w:r>
          </w:p>
          <w:p>
            <w:pPr>
              <w:pStyle w:val="Normal"/>
              <w:rPr>
                <w:rFonts w:ascii="Arial" w:hAnsi="Arial" w:cs="Arial"/>
                <w:i/>
                <w:i/>
                <w:sz w:val="22"/>
                <w:szCs w:val="22"/>
              </w:rPr>
            </w:pPr>
            <w:r>
              <w:rPr>
                <w:rFonts w:cs="Arial" w:ascii="Arial" w:hAnsi="Arial"/>
                <w:i/>
                <w:iCs/>
                <w:color w:val="444444"/>
                <w:sz w:val="22"/>
                <w:szCs w:val="22"/>
              </w:rPr>
              <w:t>Note from the Expert Review Panel:</w:t>
            </w:r>
            <w:r>
              <w:rPr>
                <w:rFonts w:cs="Arial" w:ascii="Arial" w:hAnsi="Arial"/>
                <w:i/>
                <w:color w:val="444444"/>
                <w:sz w:val="22"/>
                <w:szCs w:val="22"/>
              </w:rPr>
              <w:t xml:space="preserve"> Plasma or Serum</w:t>
            </w:r>
          </w:p>
          <w:p>
            <w:pPr>
              <w:pStyle w:val="Normal"/>
              <w:rPr>
                <w:rFonts w:ascii="Arial" w:hAnsi="Arial" w:cs="Arial"/>
                <w:i/>
                <w:i/>
                <w:color w:val="444444"/>
                <w:sz w:val="22"/>
                <w:szCs w:val="22"/>
              </w:rPr>
            </w:pPr>
            <w:r>
              <w:rPr>
                <w:rFonts w:cs="Arial" w:ascii="Arial" w:hAnsi="Arial"/>
                <w:i/>
                <w:color w:val="444444"/>
                <w:sz w:val="22"/>
                <w:szCs w:val="22"/>
              </w:rPr>
            </w:r>
          </w:p>
          <w:p>
            <w:pPr>
              <w:pStyle w:val="Normal"/>
              <w:rPr>
                <w:rFonts w:ascii="Arial" w:hAnsi="Arial" w:cs="Arial"/>
                <w:i/>
                <w:i/>
                <w:color w:val="444444"/>
                <w:sz w:val="22"/>
                <w:szCs w:val="22"/>
              </w:rPr>
            </w:pPr>
            <w:r>
              <w:rPr>
                <w:rFonts w:cs="Arial" w:ascii="Arial" w:hAnsi="Arial"/>
                <w:i/>
                <w:color w:val="444444"/>
                <w:sz w:val="22"/>
                <w:szCs w:val="22"/>
              </w:rPr>
            </w:r>
          </w:p>
          <w:p>
            <w:pPr>
              <w:pStyle w:val="Normal"/>
              <w:rPr/>
            </w:pPr>
            <w:r>
              <w:rPr>
                <w:rFonts w:cs="Arial" w:ascii="Arial" w:hAnsi="Arial"/>
                <w:i/>
                <w:color w:val="444444"/>
                <w:sz w:val="22"/>
                <w:szCs w:val="22"/>
              </w:rPr>
              <w:t>Collection of blood samples for the measurement of analytes requires a general determination of whether to use serum or plasma for the assay and also a determination of the type of collection tube to be obtained. For example, if serum is to be used a determination needs to be made as to whether red top or serum gel separator collection tubes are used. While comparable values are obtained for many analytes from either serum or plasma, there may be situations where differences are more pronounced and serum or plasma specific norms will be needed for references. The protocol presented here uses red top/serum separator tubes. At times it may be possible to collect both, but other considerations such as participant burden may be the deciding factor. It is important to match assay type with sample type. Some automated devices may preclude the use of serum, for example, while others may be optimized for it. Investigators should choose methods of collection that match the methods of analysis.  This will best be done by communicating with the laboratory where the proposed assays will be performed. They will become an important partner with you in assuring that there is compatibility from collection to assays to interpretation and reporting of levels and results.</w:t>
            </w:r>
          </w:p>
          <w:p>
            <w:pPr>
              <w:pStyle w:val="Normal"/>
              <w:spacing w:before="0" w:after="0"/>
              <w:contextualSpacing/>
              <w:rPr>
                <w:rFonts w:ascii="Arial" w:hAnsi="Arial" w:cs="Arial"/>
                <w:i/>
                <w:i/>
                <w:color w:val="444444"/>
                <w:sz w:val="22"/>
                <w:szCs w:val="22"/>
              </w:rPr>
            </w:pPr>
            <w:r>
              <w:rPr>
                <w:rFonts w:cs="Arial" w:ascii="Arial" w:hAnsi="Arial"/>
                <w:i/>
                <w:color w:val="444444"/>
                <w:sz w:val="22"/>
                <w:szCs w:val="22"/>
              </w:rPr>
            </w:r>
          </w:p>
          <w:p>
            <w:pPr>
              <w:pStyle w:val="Normal"/>
              <w:spacing w:before="0" w:after="0"/>
              <w:contextualSpacing/>
              <w:rPr>
                <w:rFonts w:ascii="Arial" w:hAnsi="Arial" w:cs="Arial"/>
                <w:bCs/>
                <w:iCs/>
                <w:sz w:val="22"/>
                <w:szCs w:val="22"/>
              </w:rPr>
            </w:pPr>
            <w:r>
              <w:rPr>
                <w:rFonts w:cs="Arial" w:ascii="Arial" w:hAnsi="Arial"/>
                <w:bCs/>
                <w:iCs/>
                <w:sz w:val="22"/>
                <w:szCs w:val="22"/>
              </w:rPr>
              <w:t>Note from the Sickle Cell Disease Research and Scientific Panel:</w:t>
            </w:r>
          </w:p>
          <w:p>
            <w:pPr>
              <w:pStyle w:val="Normal"/>
              <w:spacing w:before="0" w:after="0"/>
              <w:contextualSpacing/>
              <w:rPr>
                <w:rFonts w:ascii="Arial" w:hAnsi="Arial" w:cs="Arial"/>
                <w:sz w:val="22"/>
                <w:szCs w:val="22"/>
              </w:rPr>
            </w:pPr>
            <w:r>
              <w:rPr>
                <w:rFonts w:cs="Arial" w:ascii="Arial" w:hAnsi="Arial"/>
                <w:sz w:val="22"/>
                <w:szCs w:val="22"/>
              </w:rPr>
              <w:t xml:space="preserve">The Sickle Cell Disease Research and Scientific Panel acknowledges that the serum cystatin c values have been utilized to estimate glomerular filtration rates (GFR) in individuals with sickle cell disease.  However, cystatin c values have not been validated in this population using actual determination of GFR.  Results from the BABY HUG Trial suggest that cystatin c values underestimate true GFR. Because inflammation, gender, ethnicity and other potential factors may affect cystatin c levels, caution should also be used when interpreting cystatin c results from eGFR equations until these formulas have been validated in SCD.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Default"/>
              <w:rPr/>
            </w:pPr>
            <w:r>
              <w:rPr>
                <w:sz w:val="22"/>
                <w:szCs w:val="22"/>
              </w:rPr>
              <w:t xml:space="preserve">The following is a summary version of the full </w:t>
            </w:r>
            <w:r>
              <w:rPr>
                <w:bCs/>
                <w:sz w:val="22"/>
                <w:szCs w:val="22"/>
              </w:rPr>
              <w:t xml:space="preserve">National Health and Nutrition Examination Survey </w:t>
            </w:r>
            <w:r>
              <w:rPr>
                <w:sz w:val="22"/>
                <w:szCs w:val="22"/>
              </w:rPr>
              <w:t>2007-2008 protocol.</w:t>
            </w:r>
          </w:p>
          <w:p>
            <w:pPr>
              <w:pStyle w:val="Default"/>
              <w:rPr>
                <w:sz w:val="22"/>
                <w:szCs w:val="22"/>
              </w:rPr>
            </w:pPr>
            <w:r>
              <w:rPr>
                <w:sz w:val="22"/>
                <w:szCs w:val="22"/>
              </w:rPr>
            </w:r>
          </w:p>
          <w:p>
            <w:pPr>
              <w:pStyle w:val="Default"/>
              <w:rPr>
                <w:b/>
                <w:b/>
                <w:bCs/>
                <w:sz w:val="22"/>
                <w:szCs w:val="22"/>
              </w:rPr>
            </w:pPr>
            <w:r>
              <w:rPr>
                <w:b/>
                <w:bCs/>
                <w:sz w:val="22"/>
                <w:szCs w:val="22"/>
              </w:rPr>
              <w:t>Exclusion Criteria</w:t>
            </w:r>
          </w:p>
          <w:p>
            <w:pPr>
              <w:pStyle w:val="Default"/>
              <w:rPr>
                <w:b/>
                <w:b/>
                <w:bCs/>
                <w:sz w:val="22"/>
                <w:szCs w:val="22"/>
              </w:rPr>
            </w:pPr>
            <w:r>
              <w:rPr>
                <w:b/>
                <w:bCs/>
                <w:sz w:val="22"/>
                <w:szCs w:val="22"/>
              </w:rPr>
            </w:r>
          </w:p>
          <w:p>
            <w:pPr>
              <w:pStyle w:val="CM35"/>
              <w:jc w:val="both"/>
              <w:rPr>
                <w:rFonts w:ascii="Arial" w:hAnsi="Arial" w:cs="Arial"/>
                <w:color w:val="000000"/>
                <w:sz w:val="22"/>
                <w:szCs w:val="22"/>
              </w:rPr>
            </w:pPr>
            <w:r>
              <w:rPr>
                <w:rFonts w:cs="Arial" w:ascii="Arial" w:hAnsi="Arial"/>
              </w:rPr>
              <w:t xml:space="preserve">Persons will be </w:t>
            </w:r>
            <w:r>
              <w:rPr>
                <w:rFonts w:cs="Arial" w:ascii="Arial" w:hAnsi="Arial"/>
                <w:b/>
                <w:bCs/>
              </w:rPr>
              <w:t xml:space="preserve">excluded </w:t>
            </w:r>
            <w:r>
              <w:rPr>
                <w:rFonts w:cs="Arial" w:ascii="Arial" w:hAnsi="Arial"/>
              </w:rPr>
              <w:t xml:space="preserve">from this component if they:  </w:t>
            </w:r>
          </w:p>
          <w:p>
            <w:pPr>
              <w:pStyle w:val="CM31"/>
              <w:numPr>
                <w:ilvl w:val="0"/>
                <w:numId w:val="1"/>
              </w:numPr>
              <w:jc w:val="both"/>
              <w:rPr>
                <w:rFonts w:ascii="Arial" w:hAnsi="Arial" w:cs="Arial"/>
                <w:color w:val="000000"/>
                <w:sz w:val="22"/>
                <w:szCs w:val="22"/>
              </w:rPr>
            </w:pPr>
            <w:r>
              <w:rPr>
                <w:rFonts w:cs="Arial" w:ascii="Arial" w:hAnsi="Arial"/>
                <w:color w:val="000000"/>
                <w:sz w:val="22"/>
                <w:szCs w:val="22"/>
              </w:rPr>
              <w:t xml:space="preserve">Report that they have hemophilia; or </w:t>
            </w:r>
          </w:p>
          <w:p>
            <w:pPr>
              <w:pStyle w:val="CM31"/>
              <w:numPr>
                <w:ilvl w:val="0"/>
                <w:numId w:val="1"/>
              </w:numPr>
              <w:spacing w:lineRule="atLeast" w:line="253"/>
              <w:jc w:val="both"/>
              <w:rPr>
                <w:rFonts w:ascii="Arial" w:hAnsi="Arial" w:cs="Arial"/>
                <w:color w:val="000000"/>
                <w:sz w:val="22"/>
                <w:szCs w:val="22"/>
              </w:rPr>
            </w:pPr>
            <w:r>
              <w:rPr>
                <w:rFonts w:cs="Arial" w:ascii="Arial" w:hAnsi="Arial"/>
                <w:color w:val="000000"/>
                <w:sz w:val="22"/>
                <w:szCs w:val="22"/>
              </w:rPr>
              <w:t>Report that they have received cancer chemotherapy in the last 4 weeks</w:t>
            </w:r>
          </w:p>
          <w:p>
            <w:pPr>
              <w:pStyle w:val="Default"/>
              <w:rPr>
                <w:rFonts w:ascii="Arial" w:hAnsi="Arial" w:cs="Arial"/>
                <w:i/>
                <w:i/>
                <w:iCs/>
                <w:color w:val="000000"/>
                <w:sz w:val="22"/>
                <w:szCs w:val="22"/>
              </w:rPr>
            </w:pPr>
            <w:r>
              <w:rPr>
                <w:rFonts w:cs="Arial"/>
                <w:i/>
                <w:iCs/>
                <w:color w:val="000000"/>
                <w:sz w:val="22"/>
                <w:szCs w:val="22"/>
              </w:rPr>
            </w:r>
          </w:p>
          <w:p>
            <w:pPr>
              <w:pStyle w:val="Default"/>
              <w:rPr>
                <w:i/>
                <w:i/>
                <w:iCs/>
                <w:sz w:val="22"/>
                <w:szCs w:val="22"/>
              </w:rPr>
            </w:pPr>
            <w:r>
              <w:rPr>
                <w:i/>
                <w:iCs/>
                <w:sz w:val="22"/>
                <w:szCs w:val="22"/>
              </w:rPr>
              <w:t>SP= Sample Person.</w:t>
            </w:r>
          </w:p>
          <w:p>
            <w:pPr>
              <w:pStyle w:val="Default"/>
              <w:rPr>
                <w:i/>
                <w:i/>
                <w:iCs/>
                <w:sz w:val="22"/>
                <w:szCs w:val="22"/>
              </w:rPr>
            </w:pPr>
            <w:r>
              <w:rPr>
                <w:i/>
                <w:iCs/>
                <w:sz w:val="22"/>
                <w:szCs w:val="22"/>
              </w:rPr>
            </w:r>
          </w:p>
          <w:p>
            <w:pPr>
              <w:pStyle w:val="Default"/>
              <w:rPr>
                <w:sz w:val="22"/>
                <w:szCs w:val="22"/>
              </w:rPr>
            </w:pPr>
            <w:r>
              <w:rPr>
                <w:sz w:val="22"/>
                <w:szCs w:val="22"/>
              </w:rPr>
              <w:t>1.  Do you have hemophilia?</w:t>
            </w:r>
          </w:p>
          <w:p>
            <w:pPr>
              <w:pStyle w:val="Default"/>
              <w:rPr>
                <w:sz w:val="22"/>
                <w:szCs w:val="22"/>
              </w:rPr>
            </w:pPr>
            <w:r>
              <w:rPr>
                <w:sz w:val="22"/>
                <w:szCs w:val="22"/>
              </w:rPr>
              <w:t>[ ] 1 Yes</w:t>
            </w:r>
          </w:p>
          <w:p>
            <w:pPr>
              <w:pStyle w:val="Default"/>
              <w:rPr>
                <w:sz w:val="22"/>
                <w:szCs w:val="22"/>
              </w:rPr>
            </w:pPr>
            <w:r>
              <w:rPr>
                <w:sz w:val="22"/>
                <w:szCs w:val="22"/>
              </w:rPr>
              <w:t>[ ] 2 No</w:t>
            </w:r>
          </w:p>
          <w:p>
            <w:pPr>
              <w:pStyle w:val="Default"/>
              <w:rPr>
                <w:sz w:val="22"/>
                <w:szCs w:val="22"/>
              </w:rPr>
            </w:pPr>
            <w:r>
              <w:rPr>
                <w:sz w:val="22"/>
                <w:szCs w:val="22"/>
              </w:rPr>
              <w:t>[ ] 7 Refused</w:t>
            </w:r>
          </w:p>
          <w:p>
            <w:pPr>
              <w:pStyle w:val="Default"/>
              <w:rPr>
                <w:sz w:val="22"/>
                <w:szCs w:val="22"/>
              </w:rPr>
            </w:pPr>
            <w:r>
              <w:rPr>
                <w:sz w:val="22"/>
                <w:szCs w:val="22"/>
              </w:rPr>
              <w:t>[ ] 9 Don't Know</w:t>
            </w:r>
          </w:p>
          <w:p>
            <w:pPr>
              <w:pStyle w:val="Default"/>
              <w:rPr>
                <w:sz w:val="22"/>
                <w:szCs w:val="22"/>
              </w:rPr>
            </w:pPr>
            <w:r>
              <w:rPr>
                <w:sz w:val="22"/>
                <w:szCs w:val="22"/>
              </w:rPr>
            </w:r>
          </w:p>
          <w:p>
            <w:pPr>
              <w:pStyle w:val="Default"/>
              <w:rPr>
                <w:sz w:val="22"/>
                <w:szCs w:val="22"/>
              </w:rPr>
            </w:pPr>
            <w:r>
              <w:rPr>
                <w:sz w:val="22"/>
                <w:szCs w:val="22"/>
              </w:rPr>
              <w:t>If the SP answers, “Yes,” the SP is excluded from the blood draw.</w:t>
            </w:r>
          </w:p>
          <w:p>
            <w:pPr>
              <w:pStyle w:val="Default"/>
              <w:rPr>
                <w:sz w:val="22"/>
                <w:szCs w:val="22"/>
              </w:rPr>
            </w:pPr>
            <w:r>
              <w:rPr>
                <w:sz w:val="22"/>
                <w:szCs w:val="22"/>
              </w:rPr>
              <w:t>If SP answer “No” or “Don’t Know,” blood is drawn from the SP.</w:t>
            </w:r>
          </w:p>
          <w:p>
            <w:pPr>
              <w:pStyle w:val="Default"/>
              <w:rPr>
                <w:sz w:val="22"/>
                <w:szCs w:val="22"/>
              </w:rPr>
            </w:pPr>
            <w:r>
              <w:rPr>
                <w:sz w:val="22"/>
                <w:szCs w:val="22"/>
              </w:rPr>
            </w:r>
          </w:p>
          <w:p>
            <w:pPr>
              <w:pStyle w:val="Default"/>
              <w:rPr>
                <w:sz w:val="22"/>
                <w:szCs w:val="22"/>
              </w:rPr>
            </w:pPr>
            <w:r>
              <w:rPr>
                <w:sz w:val="22"/>
                <w:szCs w:val="22"/>
              </w:rPr>
            </w:r>
          </w:p>
          <w:p>
            <w:pPr>
              <w:pStyle w:val="Default"/>
              <w:rPr/>
            </w:pPr>
            <w:r>
              <w:rPr>
                <w:sz w:val="22"/>
                <w:szCs w:val="22"/>
              </w:rPr>
              <w:t>2. Have you received cancer chemotherapy in the past four weeks or do you anticipate such therapy in the next four weeks?</w:t>
            </w:r>
          </w:p>
          <w:p>
            <w:pPr>
              <w:pStyle w:val="Default"/>
              <w:rPr>
                <w:sz w:val="22"/>
                <w:szCs w:val="22"/>
              </w:rPr>
            </w:pPr>
            <w:r>
              <w:rPr>
                <w:sz w:val="22"/>
                <w:szCs w:val="22"/>
              </w:rPr>
            </w:r>
          </w:p>
          <w:p>
            <w:pPr>
              <w:pStyle w:val="Default"/>
              <w:rPr>
                <w:sz w:val="22"/>
                <w:szCs w:val="22"/>
              </w:rPr>
            </w:pPr>
            <w:r>
              <w:rPr>
                <w:sz w:val="22"/>
                <w:szCs w:val="22"/>
              </w:rPr>
              <w:t>[ ] 1 Yes</w:t>
            </w:r>
          </w:p>
          <w:p>
            <w:pPr>
              <w:pStyle w:val="Default"/>
              <w:rPr>
                <w:sz w:val="22"/>
                <w:szCs w:val="22"/>
              </w:rPr>
            </w:pPr>
            <w:r>
              <w:rPr>
                <w:sz w:val="22"/>
                <w:szCs w:val="22"/>
              </w:rPr>
              <w:t>[ ] 2 No</w:t>
            </w:r>
          </w:p>
          <w:p>
            <w:pPr>
              <w:pStyle w:val="Default"/>
              <w:rPr>
                <w:sz w:val="22"/>
                <w:szCs w:val="22"/>
              </w:rPr>
            </w:pPr>
            <w:r>
              <w:rPr>
                <w:sz w:val="22"/>
                <w:szCs w:val="22"/>
              </w:rPr>
              <w:t>[ ] 7 Refused</w:t>
            </w:r>
          </w:p>
          <w:p>
            <w:pPr>
              <w:pStyle w:val="Default"/>
              <w:rPr>
                <w:sz w:val="22"/>
                <w:szCs w:val="22"/>
              </w:rPr>
            </w:pPr>
            <w:r>
              <w:rPr>
                <w:sz w:val="22"/>
                <w:szCs w:val="22"/>
              </w:rPr>
              <w:t>[ ] 9 Don't Know</w:t>
            </w:r>
          </w:p>
          <w:p>
            <w:pPr>
              <w:pStyle w:val="Default"/>
              <w:rPr>
                <w:sz w:val="22"/>
                <w:szCs w:val="22"/>
              </w:rPr>
            </w:pPr>
            <w:r>
              <w:rPr>
                <w:sz w:val="22"/>
                <w:szCs w:val="22"/>
              </w:rPr>
            </w:r>
          </w:p>
          <w:p>
            <w:pPr>
              <w:pStyle w:val="Default"/>
              <w:rPr>
                <w:sz w:val="22"/>
                <w:szCs w:val="22"/>
              </w:rPr>
            </w:pPr>
            <w:r>
              <w:rPr>
                <w:sz w:val="22"/>
                <w:szCs w:val="22"/>
              </w:rPr>
              <w:t>If the SP answers, “Yes,” the SP is excluded from the blood draw.</w:t>
            </w:r>
          </w:p>
          <w:p>
            <w:pPr>
              <w:pStyle w:val="Default"/>
              <w:rPr>
                <w:sz w:val="22"/>
                <w:szCs w:val="22"/>
              </w:rPr>
            </w:pPr>
            <w:r>
              <w:rPr>
                <w:sz w:val="22"/>
                <w:szCs w:val="22"/>
              </w:rPr>
              <w:t>If SP answer “No” or “Don’t Know,” blood is drawn from the SP.</w:t>
            </w:r>
          </w:p>
          <w:p>
            <w:pPr>
              <w:pStyle w:val="Default"/>
              <w:rPr>
                <w:sz w:val="22"/>
                <w:szCs w:val="22"/>
              </w:rPr>
            </w:pPr>
            <w:r>
              <w:rPr>
                <w:sz w:val="22"/>
                <w:szCs w:val="22"/>
              </w:rPr>
            </w:r>
          </w:p>
          <w:p>
            <w:pPr>
              <w:pStyle w:val="Default"/>
              <w:rPr>
                <w:sz w:val="22"/>
                <w:szCs w:val="22"/>
              </w:rPr>
            </w:pPr>
            <w:r>
              <w:rPr>
                <w:sz w:val="22"/>
                <w:szCs w:val="22"/>
              </w:rPr>
            </w:r>
          </w:p>
          <w:p>
            <w:pPr>
              <w:pStyle w:val="CM189"/>
              <w:spacing w:lineRule="atLeast" w:line="360"/>
              <w:jc w:val="both"/>
              <w:rPr>
                <w:rFonts w:ascii="Arial" w:hAnsi="Arial" w:cs="Arial"/>
                <w:b/>
                <w:b/>
                <w:bCs/>
                <w:color w:val="000000"/>
                <w:sz w:val="22"/>
                <w:szCs w:val="22"/>
              </w:rPr>
            </w:pPr>
            <w:r>
              <w:rPr>
                <w:rFonts w:cs="Arial" w:ascii="Arial" w:hAnsi="Arial"/>
                <w:b/>
                <w:bCs/>
                <w:color w:val="000000"/>
                <w:sz w:val="22"/>
                <w:szCs w:val="22"/>
              </w:rPr>
              <w:t xml:space="preserve">Venipuncture Procedures </w:t>
            </w:r>
          </w:p>
          <w:p>
            <w:pPr>
              <w:pStyle w:val="Default"/>
              <w:rPr>
                <w:rFonts w:ascii="Arial" w:hAnsi="Arial" w:cs="Arial"/>
                <w:b/>
                <w:b/>
                <w:bCs/>
                <w:color w:val="000000"/>
                <w:sz w:val="22"/>
                <w:szCs w:val="22"/>
              </w:rPr>
            </w:pPr>
            <w:r>
              <w:rPr>
                <w:rFonts w:cs="Arial"/>
                <w:b/>
                <w:bCs/>
                <w:color w:val="000000"/>
                <w:sz w:val="22"/>
                <w:szCs w:val="22"/>
              </w:rPr>
            </w:r>
          </w:p>
          <w:p>
            <w:pPr>
              <w:pStyle w:val="Default"/>
              <w:rPr>
                <w:sz w:val="22"/>
                <w:szCs w:val="22"/>
              </w:rPr>
            </w:pPr>
            <w:r>
              <w:rPr>
                <w:i/>
                <w:iCs/>
                <w:sz w:val="22"/>
                <w:szCs w:val="22"/>
              </w:rPr>
              <w:t>Editor's Note:</w:t>
            </w:r>
            <w:r>
              <w:rPr>
                <w:b/>
                <w:bCs/>
                <w:i/>
                <w:iCs/>
                <w:sz w:val="22"/>
                <w:szCs w:val="22"/>
              </w:rPr>
              <w:t xml:space="preserve">  </w:t>
            </w:r>
            <w:r>
              <w:rPr>
                <w:i/>
                <w:iCs/>
                <w:sz w:val="22"/>
                <w:szCs w:val="22"/>
              </w:rPr>
              <w:t xml:space="preserve">Please review chapter 4 of the Laboratory Procedures Manual from the National Health and Nutrition Examination Survey for a full description of Phlebotomy procedures:  </w:t>
            </w:r>
            <w:hyperlink r:id="rId2">
              <w:r>
                <w:rPr>
                  <w:rStyle w:val="InternetLink"/>
                  <w:sz w:val="20"/>
                  <w:szCs w:val="20"/>
                </w:rPr>
                <w:t>http://www.cdc.gov/nchs/data/nhanes/nhanes_07_08/manual_lab.pdf</w:t>
              </w:r>
            </w:hyperlink>
          </w:p>
          <w:p>
            <w:pPr>
              <w:pStyle w:val="Default"/>
              <w:rPr>
                <w:sz w:val="22"/>
                <w:szCs w:val="22"/>
              </w:rPr>
            </w:pPr>
            <w:r>
              <w:rPr>
                <w:sz w:val="22"/>
                <w:szCs w:val="22"/>
              </w:rPr>
            </w:r>
          </w:p>
          <w:p>
            <w:pPr>
              <w:pStyle w:val="Default"/>
              <w:rPr/>
            </w:pPr>
            <w:r>
              <w:rPr>
                <w:sz w:val="22"/>
                <w:szCs w:val="22"/>
              </w:rPr>
              <w:t xml:space="preserve">Venipuncture should generally be performed using the median cubital, cephalic, or basilic veins in the left arm unless this arm is unsuitable. If the veins in the left arm are unsuitable, look for suitable veins on the right arm. If the veins in the antecubital space on both arms are not suitable, then look for veins in the forearm or dorsal side of the hand on the left arm/hand and then the right arm/hand.  </w:t>
            </w:r>
            <w:r>
              <w:rPr>
                <w:i/>
                <w:iCs/>
                <w:sz w:val="22"/>
                <w:szCs w:val="22"/>
              </w:rPr>
              <w:t xml:space="preserve"> </w:t>
            </w:r>
          </w:p>
          <w:p>
            <w:pPr>
              <w:pStyle w:val="Default"/>
              <w:rPr>
                <w:i/>
                <w:i/>
                <w:iCs/>
                <w:sz w:val="22"/>
                <w:szCs w:val="22"/>
              </w:rPr>
            </w:pPr>
            <w:r>
              <w:rPr>
                <w:i/>
                <w:iCs/>
                <w:sz w:val="22"/>
                <w:szCs w:val="22"/>
              </w:rPr>
            </w:r>
          </w:p>
          <w:p>
            <w:pPr>
              <w:pStyle w:val="Normal"/>
              <w:rPr>
                <w:rFonts w:ascii="Arial" w:hAnsi="Arial" w:cs="Arial"/>
                <w:i/>
                <w:i/>
                <w:color w:val="444444"/>
                <w:sz w:val="22"/>
                <w:szCs w:val="22"/>
              </w:rPr>
            </w:pPr>
            <w:r>
              <w:rPr>
                <w:rFonts w:cs="Arial" w:ascii="Arial" w:hAnsi="Arial"/>
                <w:i/>
                <w:color w:val="444444"/>
                <w:sz w:val="22"/>
                <w:szCs w:val="22"/>
              </w:rPr>
            </w:r>
          </w:p>
          <w:p>
            <w:pPr>
              <w:pStyle w:val="Normal"/>
              <w:rPr>
                <w:rFonts w:ascii="Arial" w:hAnsi="Arial" w:cs="Arial"/>
                <w:i/>
                <w:i/>
                <w:color w:val="444444"/>
                <w:sz w:val="22"/>
                <w:szCs w:val="22"/>
              </w:rPr>
            </w:pPr>
            <w:r>
              <w:rPr>
                <w:rFonts w:cs="Arial" w:ascii="Arial" w:hAnsi="Arial"/>
                <w:i/>
                <w:color w:val="444444"/>
                <w:sz w:val="22"/>
                <w:szCs w:val="22"/>
              </w:rPr>
            </w:r>
          </w:p>
          <w:p>
            <w:pPr>
              <w:pStyle w:val="Normal"/>
              <w:rPr>
                <w:rFonts w:ascii="Arial" w:hAnsi="Arial" w:cs="Arial"/>
                <w:b/>
                <w:b/>
                <w:bCs/>
                <w:sz w:val="22"/>
                <w:szCs w:val="22"/>
              </w:rPr>
            </w:pPr>
            <w:r>
              <w:rPr>
                <w:rFonts w:cs="Arial" w:ascii="Arial" w:hAnsi="Arial"/>
                <w:b/>
                <w:bCs/>
                <w:sz w:val="22"/>
                <w:szCs w:val="22"/>
              </w:rPr>
              <w:t>Record the Results of the Venipuncture Procedure</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sz w:val="22"/>
                <w:szCs w:val="22"/>
              </w:rPr>
            </w:pPr>
            <w:r>
              <w:rPr>
                <w:rFonts w:cs="Arial" w:ascii="Arial" w:hAnsi="Arial"/>
                <w:sz w:val="22"/>
                <w:szCs w:val="22"/>
              </w:rPr>
              <w:t>Immediately after completing the venipuncture, record the results of the blood draw, the reasons for a tube not being drawn according to the protocol, and any comments about the venipuncture.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bCs/>
                <w:sz w:val="22"/>
                <w:szCs w:val="22"/>
                <w:u w:val="single"/>
              </w:rPr>
            </w:pPr>
            <w:r>
              <w:rPr>
                <w:rFonts w:cs="Arial" w:ascii="Arial" w:hAnsi="Arial"/>
                <w:b/>
                <w:bCs/>
                <w:sz w:val="22"/>
                <w:szCs w:val="22"/>
                <w:u w:val="single"/>
              </w:rPr>
            </w:r>
          </w:p>
          <w:p>
            <w:pPr>
              <w:pStyle w:val="Normal"/>
              <w:rPr>
                <w:rFonts w:ascii="Arial" w:hAnsi="Arial" w:cs="Arial"/>
                <w:b/>
                <w:b/>
                <w:bCs/>
                <w:sz w:val="22"/>
                <w:szCs w:val="22"/>
              </w:rPr>
            </w:pPr>
            <w:r>
              <w:rPr>
                <w:rFonts w:cs="Arial" w:ascii="Arial" w:hAnsi="Arial"/>
                <w:b/>
                <w:bCs/>
                <w:sz w:val="22"/>
                <w:szCs w:val="22"/>
              </w:rPr>
              <w:t>Process the Sample for the Cystatin C Assay</w:t>
            </w:r>
          </w:p>
          <w:p>
            <w:pPr>
              <w:pStyle w:val="Default"/>
              <w:rPr>
                <w:i/>
                <w:i/>
                <w:iCs/>
                <w:sz w:val="22"/>
                <w:szCs w:val="22"/>
              </w:rPr>
            </w:pPr>
            <w:r>
              <w:rPr>
                <w:i/>
                <w:iCs/>
                <w:sz w:val="22"/>
                <w:szCs w:val="22"/>
              </w:rPr>
              <w:t>Editor's Note:  Please review chapter 8 of the Laboratory Procedures Manual from the National Health and Nutrition Examination Survey 2007-2008 for a full description of Blood Processing procedures:</w:t>
            </w:r>
          </w:p>
          <w:p>
            <w:pPr>
              <w:pStyle w:val="Default"/>
              <w:rPr>
                <w:i/>
                <w:i/>
                <w:iCs/>
                <w:sz w:val="22"/>
                <w:szCs w:val="22"/>
              </w:rPr>
            </w:pPr>
            <w:hyperlink r:id="rId3">
              <w:r>
                <w:rPr>
                  <w:rStyle w:val="InternetLink"/>
                  <w:sz w:val="20"/>
                  <w:szCs w:val="20"/>
                </w:rPr>
                <w:t>http://www.cdc.gov/nchs/data/nhanes/nhanes_07_08/manual_lab.pdf</w:t>
              </w:r>
            </w:hyperlink>
            <w:r>
              <w:rPr>
                <w:i/>
                <w:iCs/>
                <w:sz w:val="22"/>
                <w:szCs w:val="22"/>
              </w:rPr>
              <w:t xml:space="preserve"> </w:t>
            </w:r>
          </w:p>
          <w:p>
            <w:pPr>
              <w:pStyle w:val="Normal"/>
              <w:rPr>
                <w:rFonts w:ascii="Arial" w:hAnsi="Arial" w:cs="Arial"/>
                <w:b/>
                <w:b/>
                <w:bCs/>
                <w:i/>
                <w:i/>
                <w:iCs/>
                <w:sz w:val="22"/>
                <w:szCs w:val="22"/>
              </w:rPr>
            </w:pPr>
            <w:r>
              <w:rPr>
                <w:rFonts w:cs="Arial" w:ascii="Arial" w:hAnsi="Arial"/>
                <w:b/>
                <w:bCs/>
                <w:i/>
                <w:iCs/>
                <w:sz w:val="22"/>
                <w:szCs w:val="22"/>
              </w:rPr>
            </w:r>
          </w:p>
          <w:p>
            <w:pPr>
              <w:pStyle w:val="Normal"/>
              <w:numPr>
                <w:ilvl w:val="0"/>
                <w:numId w:val="3"/>
              </w:numPr>
              <w:tabs>
                <w:tab w:val="clear" w:pos="720"/>
                <w:tab w:val="left" w:pos="396" w:leader="none"/>
              </w:tabs>
              <w:ind w:left="396" w:hanging="360"/>
              <w:rPr>
                <w:rFonts w:ascii="Arial" w:hAnsi="Arial" w:cs="Arial"/>
                <w:sz w:val="22"/>
                <w:szCs w:val="22"/>
              </w:rPr>
            </w:pPr>
            <w:r>
              <w:rPr>
                <w:rFonts w:cs="Arial" w:ascii="Arial" w:hAnsi="Arial"/>
                <w:sz w:val="22"/>
                <w:szCs w:val="22"/>
              </w:rPr>
              <w:t xml:space="preserve">Allow the blood to clot by setting aside for 30 to 45 minutes at room temperature.  Do not clot for more than an hour.  </w:t>
            </w:r>
          </w:p>
          <w:p>
            <w:pPr>
              <w:pStyle w:val="Normal"/>
              <w:numPr>
                <w:ilvl w:val="0"/>
                <w:numId w:val="3"/>
              </w:numPr>
              <w:tabs>
                <w:tab w:val="clear" w:pos="720"/>
                <w:tab w:val="left" w:pos="396" w:leader="none"/>
              </w:tabs>
              <w:ind w:left="396" w:hanging="360"/>
              <w:rPr>
                <w:rFonts w:ascii="Arial" w:hAnsi="Arial" w:cs="Arial"/>
                <w:sz w:val="22"/>
                <w:szCs w:val="22"/>
              </w:rPr>
            </w:pPr>
            <w:r>
              <w:rPr>
                <w:rFonts w:cs="Arial" w:ascii="Arial" w:hAnsi="Arial"/>
                <w:sz w:val="22"/>
                <w:szCs w:val="22"/>
              </w:rPr>
              <w:t>Centrifuge the tube at room temperature to separate the serum and aliquot into an appropriate storage tube.</w:t>
            </w:r>
          </w:p>
          <w:p>
            <w:pPr>
              <w:pStyle w:val="Normal"/>
              <w:numPr>
                <w:ilvl w:val="0"/>
                <w:numId w:val="3"/>
              </w:numPr>
              <w:tabs>
                <w:tab w:val="clear" w:pos="720"/>
                <w:tab w:val="left" w:pos="396" w:leader="none"/>
              </w:tabs>
              <w:ind w:left="396" w:hanging="360"/>
              <w:rPr>
                <w:rFonts w:ascii="Arial" w:hAnsi="Arial" w:cs="Arial"/>
                <w:sz w:val="22"/>
                <w:szCs w:val="22"/>
              </w:rPr>
            </w:pPr>
            <w:r>
              <w:rPr>
                <w:rFonts w:cs="Arial" w:ascii="Arial" w:hAnsi="Arial"/>
                <w:sz w:val="22"/>
                <w:szCs w:val="22"/>
              </w:rPr>
              <w:t>Determine if the serum is hemolyzed, turbid, lipemic, or icteric.  If so, enter a comment to describe the plasma.</w:t>
            </w:r>
          </w:p>
          <w:p>
            <w:pPr>
              <w:pStyle w:val="Normal"/>
              <w:tabs>
                <w:tab w:val="clear" w:pos="720"/>
                <w:tab w:val="left" w:pos="396" w:leader="none"/>
              </w:tabs>
              <w:ind w:left="36" w:hanging="0"/>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bCs/>
                <w:sz w:val="22"/>
                <w:szCs w:val="22"/>
              </w:rPr>
            </w:pPr>
            <w:r>
              <w:rPr>
                <w:rFonts w:cs="Arial" w:ascii="Arial" w:hAnsi="Arial"/>
                <w:b/>
                <w:bCs/>
                <w:sz w:val="22"/>
                <w:szCs w:val="22"/>
              </w:rPr>
              <w:t>Laboratory Assay for Cystatin C</w:t>
            </w:r>
          </w:p>
          <w:p>
            <w:pPr>
              <w:pStyle w:val="Default"/>
              <w:rPr>
                <w:rFonts w:ascii="Arial" w:hAnsi="Arial" w:cs="Arial"/>
                <w:b/>
                <w:b/>
                <w:bCs/>
                <w:sz w:val="22"/>
                <w:szCs w:val="22"/>
              </w:rPr>
            </w:pPr>
            <w:r>
              <w:rPr>
                <w:rFonts w:cs="Arial"/>
                <w:b/>
                <w:bCs/>
                <w:sz w:val="22"/>
                <w:szCs w:val="22"/>
              </w:rPr>
            </w:r>
          </w:p>
          <w:p>
            <w:pPr>
              <w:pStyle w:val="Normal"/>
              <w:ind w:left="36" w:hanging="0"/>
              <w:rPr>
                <w:rFonts w:ascii="Arial" w:hAnsi="Arial" w:cs="Arial"/>
                <w:sz w:val="22"/>
                <w:szCs w:val="22"/>
              </w:rPr>
            </w:pPr>
            <w:r>
              <w:rPr>
                <w:rFonts w:cs="Arial" w:ascii="Arial" w:hAnsi="Arial"/>
                <w:sz w:val="22"/>
                <w:szCs w:val="22"/>
              </w:rPr>
              <w:t xml:space="preserve">The Diabetes Working Groups notes that although there is not a standardized assay, there are many different kits which are appropriate to measure the concentration of cystatin C in serum.  Once an assay is chosen for a particular study, the Working Group recommends that no changes in the protocol be made over the course of the study. </w:t>
            </w:r>
          </w:p>
          <w:p>
            <w:pPr>
              <w:pStyle w:val="Normal"/>
              <w:ind w:left="36" w:hanging="0"/>
              <w:rPr>
                <w:rFonts w:ascii="Arial" w:hAnsi="Arial" w:cs="Arial"/>
                <w:sz w:val="22"/>
                <w:szCs w:val="22"/>
              </w:rPr>
            </w:pPr>
            <w:r>
              <w:rPr>
                <w:rFonts w:cs="Arial" w:ascii="Arial" w:hAnsi="Arial"/>
                <w:sz w:val="22"/>
                <w:szCs w:val="22"/>
              </w:rPr>
            </w:r>
          </w:p>
          <w:p>
            <w:pPr>
              <w:pStyle w:val="Normal"/>
              <w:ind w:left="36" w:hanging="0"/>
              <w:rPr>
                <w:rFonts w:ascii="Arial" w:hAnsi="Arial" w:cs="Arial"/>
                <w:b/>
                <w:b/>
                <w:bCs/>
                <w:sz w:val="22"/>
                <w:szCs w:val="22"/>
              </w:rPr>
            </w:pPr>
            <w:r>
              <w:rPr>
                <w:rFonts w:cs="Arial" w:ascii="Arial" w:hAnsi="Arial"/>
                <w:b/>
                <w:bCs/>
                <w:sz w:val="22"/>
                <w:szCs w:val="22"/>
              </w:rPr>
              <w:t>Reference Ranges</w:t>
            </w:r>
          </w:p>
          <w:p>
            <w:pPr>
              <w:pStyle w:val="Normal"/>
              <w:ind w:left="36" w:hanging="0"/>
              <w:rPr>
                <w:rFonts w:ascii="Arial" w:hAnsi="Arial" w:cs="Arial"/>
                <w:sz w:val="22"/>
                <w:szCs w:val="22"/>
              </w:rPr>
            </w:pPr>
            <w:r>
              <w:rPr>
                <w:rFonts w:cs="Arial" w:ascii="Arial" w:hAnsi="Arial"/>
                <w:sz w:val="22"/>
                <w:szCs w:val="22"/>
              </w:rPr>
              <w:t>Cystatin C ranges between 0.57 - 1.12 mg/L</w:t>
            </w:r>
          </w:p>
          <w:p>
            <w:pPr>
              <w:pStyle w:val="Normal"/>
              <w:ind w:left="36" w:hanging="0"/>
              <w:rPr>
                <w:rFonts w:ascii="Arial" w:hAnsi="Arial" w:cs="Arial"/>
                <w:sz w:val="22"/>
                <w:szCs w:val="22"/>
              </w:rPr>
            </w:pPr>
            <w:r>
              <w:rPr>
                <w:rFonts w:cs="Arial" w:ascii="Arial" w:hAnsi="Arial"/>
                <w:sz w:val="22"/>
                <w:szCs w:val="22"/>
              </w:rPr>
            </w:r>
          </w:p>
          <w:p>
            <w:pPr>
              <w:pStyle w:val="Normal"/>
              <w:ind w:left="36" w:hanging="0"/>
              <w:rPr>
                <w:rFonts w:ascii="Arial" w:hAnsi="Arial" w:cs="Arial"/>
                <w:sz w:val="22"/>
                <w:szCs w:val="22"/>
              </w:rPr>
            </w:pPr>
            <w:r>
              <w:rPr>
                <w:rFonts w:cs="Arial" w:ascii="Arial" w:hAnsi="Arial"/>
                <w:sz w:val="22"/>
                <w:szCs w:val="22"/>
              </w:rPr>
            </w:r>
          </w:p>
          <w:p>
            <w:pPr>
              <w:pStyle w:val="Normal"/>
              <w:rPr/>
            </w:pPr>
            <w:r>
              <w:rPr>
                <w:rFonts w:cs="Arial" w:ascii="Arial" w:hAnsi="Arial"/>
                <w:b/>
                <w:bCs/>
                <w:sz w:val="22"/>
                <w:szCs w:val="22"/>
              </w:rPr>
              <w:t>Estimated Glomerular Filtration Rate:</w:t>
            </w:r>
          </w:p>
          <w:p>
            <w:pPr>
              <w:pStyle w:val="Normal"/>
              <w:rPr>
                <w:rFonts w:ascii="Arial" w:hAnsi="Arial" w:cs="Arial"/>
                <w:b/>
                <w:b/>
                <w:bCs/>
                <w:sz w:val="22"/>
                <w:szCs w:val="22"/>
              </w:rPr>
            </w:pPr>
            <w:r>
              <w:rPr>
                <w:rFonts w:cs="Arial" w:ascii="Arial" w:hAnsi="Arial"/>
                <w:b/>
                <w:bCs/>
                <w:sz w:val="22"/>
                <w:szCs w:val="22"/>
              </w:rPr>
            </w:r>
          </w:p>
          <w:p>
            <w:pPr>
              <w:pStyle w:val="Normal"/>
              <w:rPr/>
            </w:pPr>
            <w:r>
              <w:rPr>
                <w:rFonts w:cs="Arial" w:ascii="Arial" w:hAnsi="Arial"/>
                <w:sz w:val="22"/>
                <w:szCs w:val="22"/>
              </w:rPr>
              <w:t xml:space="preserve">estimated Glomerular Filtration Rate = 127.7 X Cystatin C </w:t>
            </w:r>
            <w:r>
              <w:rPr>
                <w:rFonts w:cs="Arial" w:ascii="Arial" w:hAnsi="Arial"/>
                <w:sz w:val="22"/>
                <w:szCs w:val="22"/>
                <w:vertAlign w:val="superscript"/>
              </w:rPr>
              <w:t>-1.17</w:t>
            </w:r>
            <w:r>
              <w:rPr>
                <w:rFonts w:cs="Arial" w:ascii="Arial" w:hAnsi="Arial"/>
                <w:sz w:val="22"/>
                <w:szCs w:val="22"/>
              </w:rPr>
              <w:t xml:space="preserve"> X Age </w:t>
            </w:r>
            <w:r>
              <w:rPr>
                <w:rFonts w:cs="Arial" w:ascii="Arial" w:hAnsi="Arial"/>
                <w:sz w:val="22"/>
                <w:szCs w:val="22"/>
                <w:vertAlign w:val="superscript"/>
              </w:rPr>
              <w:t>-0.13</w:t>
            </w:r>
            <w:r>
              <w:rPr>
                <w:rFonts w:cs="Arial" w:ascii="Arial" w:hAnsi="Arial"/>
                <w:sz w:val="22"/>
                <w:szCs w:val="22"/>
              </w:rPr>
              <w:t xml:space="preserve"> X [0.91 </w:t>
            </w:r>
            <w:r>
              <w:rPr>
                <w:rFonts w:cs="Arial" w:ascii="Arial" w:hAnsi="Arial"/>
                <w:i/>
                <w:iCs/>
                <w:sz w:val="22"/>
                <w:szCs w:val="22"/>
              </w:rPr>
              <w:t>if Female</w:t>
            </w:r>
            <w:r>
              <w:rPr>
                <w:rFonts w:cs="Arial" w:ascii="Arial" w:hAnsi="Arial"/>
                <w:sz w:val="22"/>
                <w:szCs w:val="22"/>
              </w:rPr>
              <w:t xml:space="preserve">] X [1.06 </w:t>
            </w:r>
            <w:r>
              <w:rPr>
                <w:rFonts w:cs="Arial" w:ascii="Arial" w:hAnsi="Arial"/>
                <w:i/>
                <w:iCs/>
                <w:sz w:val="22"/>
                <w:szCs w:val="22"/>
              </w:rPr>
              <w:t>if African American</w:t>
            </w:r>
            <w:r>
              <w:rPr>
                <w:rFonts w:cs="Arial" w:ascii="Arial" w:hAnsi="Arial"/>
                <w:sz w:val="22"/>
                <w:szCs w:val="22"/>
              </w:rPr>
              <w:t>]</w:t>
            </w:r>
          </w:p>
          <w:p>
            <w:pPr>
              <w:pStyle w:val="Normal"/>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Stevens, LA, Coresh, J, Schmid, CH, Feldman, HI, Froissart, M, Kusek, J, Rossert, J, Van Lente, F, Bruce, RD, Zhang, Y, Greene, T, &amp; Levey, AS. (2008). Estimating GFR using serum cystatin c alone and in combination with serum creatinine: a pooled analysis of 3,418 individuals with CKD. </w:t>
            </w:r>
            <w:r>
              <w:rPr>
                <w:rFonts w:cs="Arial" w:ascii="Arial" w:hAnsi="Arial"/>
                <w:i/>
                <w:sz w:val="22"/>
                <w:szCs w:val="22"/>
              </w:rPr>
              <w:t>American Journal of Kidney Diseases.</w:t>
            </w:r>
            <w:r>
              <w:rPr>
                <w:rFonts w:cs="Arial" w:ascii="Arial" w:hAnsi="Arial"/>
                <w:iCs/>
                <w:sz w:val="22"/>
                <w:szCs w:val="22"/>
              </w:rPr>
              <w:t xml:space="preserve"> 51(3), 395-406.</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Participant 6 years of age or older.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Fonts w:cs="Arial" w:ascii="Arial" w:hAnsi="Arial"/>
                <w:sz w:val="22"/>
                <w:szCs w:val="22"/>
              </w:rPr>
              <w:t>Centers for Disease Control and Prevention (CDC). National Center for Health Statistics (NCHS). National Health and Nutrition Examination Survey Questionnaire. Laboratory Procedures Manual. Hyattsville, MD: U.S. Department of Health and Human Services, Centers for Disease Control and Prevention, 2007.</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Phlebotomist</w:t>
            </w:r>
          </w:p>
          <w:p>
            <w:pPr>
              <w:pStyle w:val="Normal"/>
              <w:spacing w:before="0" w:after="0"/>
              <w:contextualSpacing/>
              <w:rPr>
                <w:rStyle w:val="DefaultChar"/>
                <w:sz w:val="22"/>
                <w:szCs w:val="22"/>
              </w:rPr>
            </w:pPr>
            <w:r>
              <w:rPr>
                <w:rFonts w:cs="Arial" w:ascii="Arial" w:hAnsi="Arial"/>
                <w:sz w:val="22"/>
                <w:szCs w:val="22"/>
              </w:rPr>
              <w:t>Laboratory that can perform the cystatin c assay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Phlebotomy supplies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Bioassay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iCs/>
                <w:sz w:val="22"/>
                <w:szCs w:val="22"/>
              </w:rPr>
            </w:pPr>
            <w:r>
              <w:rPr>
                <w:rFonts w:cs="Arial" w:ascii="Arial" w:hAnsi="Arial"/>
                <w:b/>
                <w:iCs/>
                <w:sz w:val="22"/>
                <w:szCs w:val="22"/>
              </w:rPr>
            </w:r>
          </w:p>
          <w:p>
            <w:pPr>
              <w:pStyle w:val="Normal"/>
              <w:rPr>
                <w:rFonts w:ascii="Arial" w:hAnsi="Arial" w:cs="Arial"/>
                <w:sz w:val="22"/>
                <w:szCs w:val="22"/>
              </w:rPr>
            </w:pPr>
            <w:r>
              <w:rPr>
                <w:rFonts w:cs="Arial" w:ascii="Arial" w:hAnsi="Arial"/>
                <w:sz w:val="22"/>
                <w:szCs w:val="22"/>
              </w:rPr>
              <w:t xml:space="preserve">Inker LA, Okparavero A. (2011) Cystatin C as a </w:t>
            </w:r>
            <w:hyperlink r:id="rId4">
              <w:r>
                <w:rPr>
                  <w:rStyle w:val="InternetLink"/>
                  <w:rFonts w:cs="Arial" w:ascii="Arial" w:hAnsi="Arial"/>
                  <w:sz w:val="22"/>
                  <w:szCs w:val="22"/>
                </w:rPr>
                <w:t xml:space="preserve"> marker of glomerular filtration rate: prospects and limitations.</w:t>
              </w:r>
            </w:hyperlink>
            <w:r>
              <w:rPr>
                <w:rFonts w:cs="Arial" w:ascii="Arial" w:hAnsi="Arial"/>
                <w:sz w:val="22"/>
                <w:szCs w:val="22"/>
              </w:rPr>
              <w:t xml:space="preserve"> </w:t>
            </w:r>
            <w:r>
              <w:rPr>
                <w:rFonts w:cs="Arial" w:ascii="Arial" w:hAnsi="Arial"/>
                <w:i/>
                <w:sz w:val="22"/>
                <w:szCs w:val="22"/>
              </w:rPr>
              <w:t>Curr Opin Nephrol Hypertens</w:t>
            </w:r>
            <w:r>
              <w:rPr>
                <w:rFonts w:cs="Arial" w:ascii="Arial" w:hAnsi="Arial"/>
                <w:sz w:val="22"/>
                <w:szCs w:val="22"/>
              </w:rPr>
              <w:t>. 20(6):631-639</w:t>
            </w:r>
          </w:p>
          <w:p>
            <w:pPr>
              <w:pStyle w:val="Normal"/>
              <w:rPr>
                <w:rFonts w:ascii="Arial" w:hAnsi="Arial" w:cs="Arial"/>
                <w:sz w:val="22"/>
                <w:szCs w:val="22"/>
              </w:rPr>
            </w:pPr>
            <w:r>
              <w:rPr>
                <w:rFonts w:cs="Arial" w:ascii="Arial" w:hAnsi="Arial"/>
                <w:sz w:val="22"/>
                <w:szCs w:val="22"/>
              </w:rPr>
            </w:r>
          </w:p>
          <w:p>
            <w:pPr>
              <w:pStyle w:val="Normal"/>
              <w:shd w:fill="FFFFFF" w:val="clear"/>
              <w:rPr/>
            </w:pPr>
            <w:r>
              <w:rPr>
                <w:rFonts w:cs="Arial" w:ascii="Arial" w:hAnsi="Arial"/>
                <w:sz w:val="22"/>
                <w:szCs w:val="22"/>
              </w:rPr>
              <w:t xml:space="preserve">Levey AS, Inker LA, Coresh J.  (2014) GFR estimation: from physiology to public health.  </w:t>
            </w:r>
            <w:r>
              <w:rPr>
                <w:rFonts w:cs="Arial" w:ascii="Arial" w:hAnsi="Arial"/>
                <w:i/>
                <w:sz w:val="22"/>
                <w:szCs w:val="22"/>
              </w:rPr>
              <w:t>Am J Kidney Dis</w:t>
            </w:r>
            <w:r>
              <w:rPr>
                <w:rFonts w:cs="Arial" w:ascii="Arial" w:hAnsi="Arial"/>
                <w:sz w:val="22"/>
                <w:szCs w:val="22"/>
              </w:rPr>
              <w:t>. 63(5):820-834</w:t>
            </w:r>
          </w:p>
          <w:p>
            <w:pPr>
              <w:pStyle w:val="Normal"/>
              <w:shd w:fill="FFFFFF" w:val="clear"/>
              <w:spacing w:lineRule="atLeast" w:line="300"/>
              <w:rPr>
                <w:rFonts w:ascii="Arial" w:hAnsi="Arial" w:cs="Arial"/>
                <w:sz w:val="22"/>
                <w:szCs w:val="22"/>
              </w:rPr>
            </w:pPr>
            <w:r>
              <w:rPr>
                <w:rFonts w:cs="Arial" w:ascii="Arial" w:hAnsi="Arial"/>
                <w:sz w:val="22"/>
                <w:szCs w:val="22"/>
              </w:rPr>
            </w:r>
          </w:p>
          <w:p>
            <w:pPr>
              <w:pStyle w:val="Normal"/>
              <w:shd w:fill="FFFFFF" w:val="clear"/>
              <w:spacing w:lineRule="atLeast" w:line="300"/>
              <w:rPr/>
            </w:pPr>
            <w:r>
              <w:rPr>
                <w:rFonts w:cs="Arial" w:ascii="Arial" w:hAnsi="Arial"/>
                <w:sz w:val="22"/>
                <w:szCs w:val="22"/>
              </w:rPr>
              <w:t xml:space="preserve">Miles, R.R., Roberts, R.F., Putnam, A.R., Roberts, W.L. (2004). Comparison of Serum and Heparinized Plasma Samples for Measurement of Chemistry Analytes [Letter to the Editor]. </w:t>
            </w:r>
            <w:r>
              <w:rPr>
                <w:rFonts w:cs="Arial" w:ascii="Arial" w:hAnsi="Arial"/>
                <w:i/>
                <w:sz w:val="22"/>
                <w:szCs w:val="22"/>
              </w:rPr>
              <w:t>Clinical Chemistry</w:t>
            </w:r>
            <w:r>
              <w:rPr>
                <w:rFonts w:cs="Arial" w:ascii="Arial" w:hAnsi="Arial"/>
                <w:sz w:val="22"/>
                <w:szCs w:val="22"/>
              </w:rPr>
              <w:t xml:space="preserve">, 50(9):1704-1705.  </w:t>
            </w:r>
          </w:p>
          <w:p>
            <w:pPr>
              <w:pStyle w:val="Normal"/>
              <w:shd w:fill="FFFFFF" w:val="clear"/>
              <w:spacing w:lineRule="atLeast" w:line="300"/>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Stevens, LA, Coresh, J, Schmid, CH, Feldman, HI, Froissart, M, Kusek, J, Rossert, J, Van Lente, F, Bruce, RD, Zhang, Y, Greene, T, &amp; Levey, AS. (2008). Estimating GFR using serum cystatin c alone and in combination with serum creatinine: a pooled analysis of 3,418 individuals with CKD. </w:t>
            </w:r>
            <w:r>
              <w:rPr>
                <w:rFonts w:cs="Arial" w:ascii="Arial" w:hAnsi="Arial"/>
                <w:i/>
                <w:sz w:val="22"/>
                <w:szCs w:val="22"/>
              </w:rPr>
              <w:t>American Journal of Kidney Diseases</w:t>
            </w:r>
            <w:r>
              <w:rPr>
                <w:rFonts w:cs="Arial" w:ascii="Arial" w:hAnsi="Arial"/>
                <w:sz w:val="22"/>
                <w:szCs w:val="22"/>
              </w:rPr>
              <w:t>. 51(3), 395-406.</w:t>
            </w:r>
          </w:p>
          <w:p>
            <w:pPr>
              <w:pStyle w:val="Normal"/>
              <w:shd w:fill="FFFFFF" w:val="clear"/>
              <w:spacing w:lineRule="atLeast" w:line="300"/>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
              <w:ind w:hanging="4"/>
              <w:rPr/>
            </w:pPr>
            <w:r>
              <w:rPr>
                <w:rFonts w:cs="Arial" w:ascii="Arial" w:hAnsi="Arial"/>
                <w:sz w:val="22"/>
                <w:szCs w:val="22"/>
              </w:rPr>
              <w:t xml:space="preserve">The </w:t>
            </w:r>
            <w:hyperlink r:id="rId5">
              <w:r>
                <w:rPr>
                  <w:rStyle w:val="InternetLink"/>
                  <w:rFonts w:cs="Arial" w:ascii="Arial" w:hAnsi="Arial"/>
                  <w:sz w:val="22"/>
                  <w:szCs w:val="22"/>
                </w:rPr>
                <w:t>Expert Review Panel #1</w:t>
              </w:r>
            </w:hyperlink>
            <w:r>
              <w:rPr>
                <w:rFonts w:cs="Arial" w:ascii="Arial" w:hAnsi="Arial"/>
                <w:sz w:val="22"/>
                <w:szCs w:val="22"/>
              </w:rPr>
              <w:t xml:space="preserve"> reviewed the measures in the Anthropometrics, Diabetes, Physical Activity and Physical Fitness, and Nutrition and Dietary Supplements domains. </w:t>
            </w:r>
          </w:p>
          <w:p>
            <w:pPr>
              <w:pStyle w:val="Normal"/>
              <w:ind w:firstLine="1076"/>
              <w:rPr>
                <w:rFonts w:ascii="Arial" w:hAnsi="Arial" w:cs="Arial"/>
                <w:sz w:val="22"/>
                <w:szCs w:val="22"/>
              </w:rPr>
            </w:pPr>
            <w:r>
              <w:rPr>
                <w:rFonts w:cs="Arial" w:ascii="Arial" w:hAnsi="Arial"/>
                <w:sz w:val="22"/>
                <w:szCs w:val="22"/>
              </w:rPr>
            </w:r>
          </w:p>
          <w:p>
            <w:pPr>
              <w:pStyle w:val="Normal"/>
              <w:ind w:firstLine="266"/>
              <w:rPr>
                <w:rFonts w:ascii="Arial" w:hAnsi="Arial" w:cs="Arial"/>
                <w:sz w:val="22"/>
                <w:szCs w:val="22"/>
              </w:rPr>
            </w:pPr>
            <w:r>
              <w:rPr>
                <w:rFonts w:cs="Arial" w:ascii="Arial" w:hAnsi="Arial"/>
                <w:sz w:val="22"/>
                <w:szCs w:val="22"/>
              </w:rPr>
              <w:t>Guidance from the ERP includes:</w:t>
            </w:r>
          </w:p>
          <w:p>
            <w:pPr>
              <w:pStyle w:val="Normal"/>
              <w:ind w:firstLine="266"/>
              <w:rPr>
                <w:rFonts w:ascii="Arial" w:hAnsi="Arial" w:cs="Arial"/>
                <w:sz w:val="22"/>
                <w:szCs w:val="22"/>
              </w:rPr>
            </w:pPr>
            <w:r>
              <w:rPr>
                <w:rFonts w:cs="Arial" w:ascii="Arial" w:hAnsi="Arial"/>
                <w:sz w:val="22"/>
                <w:szCs w:val="22"/>
              </w:rPr>
            </w:r>
          </w:p>
          <w:p>
            <w:pPr>
              <w:pStyle w:val="Normal"/>
              <w:numPr>
                <w:ilvl w:val="0"/>
                <w:numId w:val="2"/>
              </w:numPr>
              <w:rPr>
                <w:rFonts w:ascii="Arial" w:hAnsi="Arial" w:cs="Arial"/>
                <w:sz w:val="22"/>
                <w:szCs w:val="22"/>
              </w:rPr>
            </w:pPr>
            <w:r>
              <w:rPr>
                <w:rFonts w:cs="Arial" w:ascii="Arial" w:hAnsi="Arial"/>
                <w:sz w:val="22"/>
                <w:szCs w:val="22"/>
              </w:rPr>
              <w:t>Added recommendations on use of serum or plasma</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Previous version in Toolkit archive (</w:t>
            </w:r>
            <w:hyperlink r:id="rId6">
              <w:r>
                <w:rPr>
                  <w:rStyle w:val="InternetLink"/>
                  <w:rFonts w:cs="Arial" w:ascii="Arial" w:hAnsi="Arial"/>
                  <w:sz w:val="22"/>
                  <w:szCs w:val="22"/>
                </w:rPr>
                <w:t>link</w:t>
              </w:r>
            </w:hyperlink>
            <w:r>
              <w:rPr>
                <w:rFonts w:cs="Arial" w:ascii="Arial" w:hAnsi="Arial"/>
                <w:sz w:val="22"/>
                <w:szCs w:val="22"/>
              </w:rPr>
              <w:t>)</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spacing w:before="0" w:after="0"/>
        <w:contextualSpacing/>
        <w:rPr/>
      </w:pPr>
      <w:r>
        <w:rPr/>
      </w:r>
    </w:p>
    <w:sectPr>
      <w:headerReference w:type="default" r:id="rId7"/>
      <w:footerReference w:type="default" r:id="rId8"/>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Cystatin C Assay for Kidney Function</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Diabetes </w:t>
    </w:r>
  </w:p>
  <w:p>
    <w:pPr>
      <w:pStyle w:val="Normal"/>
      <w:rPr>
        <w:rFonts w:ascii="Arial" w:hAnsi="Arial" w:cs="Arial"/>
        <w:b/>
        <w:b/>
        <w:sz w:val="20"/>
        <w:szCs w:val="20"/>
      </w:rPr>
    </w:pPr>
    <w:r>
      <w:rPr>
        <w:rFonts w:cs="Arial" w:ascii="Arial" w:hAnsi="Arial"/>
        <w:b/>
        <w:sz w:val="20"/>
        <w:szCs w:val="20"/>
      </w:rPr>
      <w:t xml:space="preserve">Release Date: 10/1/2015 </w:t>
    </w:r>
  </w:p>
  <w:p>
    <w:pPr>
      <w:pStyle w:val="Normal"/>
      <w:rPr/>
    </w:pPr>
    <w:r>
      <w:rPr>
        <w:rFonts w:cs="Arial" w:ascii="Arial" w:hAnsi="Arial"/>
        <w:b/>
        <w:sz w:val="20"/>
        <w:szCs w:val="20"/>
      </w:rPr>
      <w:t>Cystatin C Assay for Kidney Function</w:t>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720" w:hanging="360"/>
      </w:pPr>
      <w:rPr>
        <w:rFonts w:ascii="Symbol" w:hAnsi="Symbol" w:cs="Symbol" w:hint="default"/>
      </w:rPr>
    </w:lvl>
  </w:abstractNum>
  <w:abstractNum w:abstractNumId="2">
    <w:lvl w:ilvl="0">
      <w:start w:val="1"/>
      <w:numFmt w:val="bullet"/>
      <w:lvlText w:val=""/>
      <w:lvlJc w:val="left"/>
      <w:pPr>
        <w:tabs>
          <w:tab w:val="num" w:pos="0"/>
        </w:tabs>
        <w:ind w:left="986" w:hanging="360"/>
      </w:pPr>
      <w:rPr>
        <w:rFonts w:ascii="Symbol" w:hAnsi="Symbol" w:cs="Symbol" w:hint="default"/>
      </w:rPr>
    </w:lvl>
  </w:abstractNum>
  <w:abstractNum w:abstractNumId="3">
    <w:lvl w:ilvl="0">
      <w:start w:val="1"/>
      <w:numFmt w:val="bullet"/>
      <w:lvlText w:val=""/>
      <w:lvlJc w:val="left"/>
      <w:pPr>
        <w:tabs>
          <w:tab w:val="num" w:pos="2160"/>
        </w:tabs>
        <w:ind w:left="2520" w:hanging="36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Jrnl">
    <w:name w:val="jrnl"/>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CM35">
    <w:name w:val="CM35"/>
    <w:basedOn w:val="Default"/>
    <w:next w:val="Default"/>
    <w:qFormat/>
    <w:pPr/>
    <w:rPr>
      <w:rFonts w:ascii="Times New Roman" w:hAnsi="Times New Roman" w:cs="Times New Roman"/>
      <w:color w:val="000000"/>
    </w:rPr>
  </w:style>
  <w:style w:type="paragraph" w:styleId="CM31">
    <w:name w:val="CM31"/>
    <w:basedOn w:val="Default"/>
    <w:next w:val="Default"/>
    <w:qFormat/>
    <w:pPr/>
    <w:rPr>
      <w:rFonts w:ascii="Times New Roman" w:hAnsi="Times New Roman" w:cs="Times New Roman"/>
      <w:color w:val="000000"/>
    </w:rPr>
  </w:style>
  <w:style w:type="paragraph" w:styleId="CM189">
    <w:name w:val="CM189"/>
    <w:basedOn w:val="Default"/>
    <w:next w:val="Default"/>
    <w:qFormat/>
    <w:pPr/>
    <w:rPr>
      <w:rFonts w:ascii="Times New Roman" w:hAnsi="Times New Roman" w:cs="Times New Roman"/>
      <w:color w:val="000000"/>
    </w:rPr>
  </w:style>
  <w:style w:type="paragraph" w:styleId="Title1">
    <w:name w:val="title1"/>
    <w:basedOn w:val="Normal"/>
    <w:qFormat/>
    <w:pPr/>
    <w:rPr>
      <w:sz w:val="27"/>
      <w:szCs w:val="27"/>
    </w:rPr>
  </w:style>
  <w:style w:type="paragraph" w:styleId="Desc2">
    <w:name w:val="desc2"/>
    <w:basedOn w:val="Normal"/>
    <w:qFormat/>
    <w:pPr/>
    <w:rPr>
      <w:sz w:val="26"/>
      <w:szCs w:val="26"/>
    </w:rPr>
  </w:style>
  <w:style w:type="paragraph" w:styleId="Details1">
    <w:name w:val="details1"/>
    <w:basedOn w:val="Normal"/>
    <w:qFormat/>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dc.gov/nchs/data/nhanes/nhanes_07_08/manual_lab.pdf" TargetMode="External"/><Relationship Id="rId3" Type="http://schemas.openxmlformats.org/officeDocument/2006/relationships/hyperlink" Target="http://www.cdc.gov/nchs/data/nhanes/nhanes_07_08/manual_lab.pdf" TargetMode="External"/><Relationship Id="rId4" Type="http://schemas.openxmlformats.org/officeDocument/2006/relationships/hyperlink" Target="http://www.ncbi.nlm.nih.gov/pubmed/21926620" TargetMode="External"/><Relationship Id="rId5" Type="http://schemas.openxmlformats.org/officeDocument/2006/relationships/hyperlink" Target="https://phenx.org/Default.aspx?tabid=872" TargetMode="External"/><Relationship Id="rId6" Type="http://schemas.openxmlformats.org/officeDocument/2006/relationships/hyperlink" Target="http://phenxtoolkitdev.rti.org/index.php?pageLink=browse.archive.protocols&amp;id=140000"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21</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2015-08-25T19:09:00Z</dcterms:created>
  <dc:creator>whuggins</dc:creator>
  <dc:description/>
  <cp:keywords/>
  <dc:language>en-US</dc:language>
  <cp:lastModifiedBy>Hwang, Stephen</cp:lastModifiedBy>
  <cp:lastPrinted>2009-03-24T15:13:00Z</cp:lastPrinted>
  <dcterms:modified xsi:type="dcterms:W3CDTF">2015-09-30T20:28:00Z</dcterms:modified>
  <cp:revision>16</cp:revision>
  <dc:subject/>
  <dc:title/>
</cp:coreProperties>
</file>