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Environmental Exposures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Characteristics of Current Residence - Technician Observations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Observations the technician makes about the current residence.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technician who visits the residence makes observations about the basement and type of flooring in the home.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Basement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  Is there a basement in the house?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left="300" w:firstLine="467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ind w:left="300" w:firstLine="467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2 [ ]  No (Skip to Flooring Type)</w:t>
            </w:r>
          </w:p>
          <w:p>
            <w:pPr>
              <w:pStyle w:val="Normal"/>
              <w:ind w:left="300" w:firstLine="467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99 [ ]  Don’t know (Skip to Flooring Type)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2.  Is the basement wet or damp?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left="300" w:firstLine="420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ind w:left="300" w:firstLine="420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 xml:space="preserve">2 [ ]  No </w:t>
            </w:r>
          </w:p>
          <w:p>
            <w:pPr>
              <w:pStyle w:val="Normal"/>
              <w:ind w:left="300" w:firstLine="420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 xml:space="preserve">99 [ ]  Don’t know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3.  Are there signs of previous flooding?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left="300" w:firstLine="420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ind w:left="300" w:firstLine="420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 xml:space="preserve">2 [ ]  No </w:t>
            </w:r>
          </w:p>
          <w:p>
            <w:pPr>
              <w:pStyle w:val="Normal"/>
              <w:ind w:left="300" w:firstLine="420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 xml:space="preserve">99 [ ]  Don’t know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Flooring Type (Carpeting, etc.)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Note: Ask 4. a</w:t>
            </w:r>
            <w:r>
              <w:rPr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</w:rPr>
              <w:t>h for the Family Room, Child’s Bedroom, and Adult’s Bedroom.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4.  What floor covering is present?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CHECK “1” FOR ALL THAT ARE PRESENT AND “0” FOR ALL THAT ARE NOT PRESENT.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                                                          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a. Wall-to-wall carpeting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0 [ ]  No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b. Large rug 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ind w:firstLine="360"/>
              <w:rPr/>
            </w:pP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0 [ ]  No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c. Scatter rug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firstLine="360"/>
              <w:rPr/>
            </w:pP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0 [ ]  No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d. Linoleum/tile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firstLine="360"/>
              <w:rPr/>
            </w:pP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0 [ ]  No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e. Wood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firstLine="360"/>
              <w:rPr/>
            </w:pP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0 [ ]  No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f. Concrete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firstLine="360"/>
              <w:rPr/>
            </w:pP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0 [ ]  No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g. Other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firstLine="360"/>
              <w:rPr/>
            </w:pPr>
            <w:r>
              <w:rPr>
                <w:rFonts w:cs="Arial" w:ascii="Arial" w:hAnsi="Arial"/>
                <w:sz w:val="22"/>
                <w:szCs w:val="22"/>
              </w:rPr>
              <w:t>1 [ ]  Yes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 </w:t>
            </w:r>
            <w:r>
              <w:rPr>
                <w:rFonts w:cs="Arial" w:ascii="Arial" w:hAnsi="Arial"/>
                <w:sz w:val="22"/>
                <w:szCs w:val="22"/>
              </w:rPr>
              <w:t>0 [ ]  No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Specify: h.________________________________________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Adult 18 +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National Institutes of Health, National Institute of Allergy and Infectious Diseases, National Institute of Environmental Health Sciences. (1998). Inner-City Asthma Study (ICAS). Bethesda, MD: Author. Home Environment Survey Form.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Question number C7 (Question 4). </w:t>
            </w:r>
            <w:hyperlink r:id="rId2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http://www.icasweb.org/</w:t>
              </w:r>
            </w:hyperlink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Seattle</w:t>
            </w:r>
            <w:r>
              <w:rPr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</w:rPr>
              <w:t>King County Healthy Homes Project. (2003). Homebase Home Environment Checklist. Seattle, WA: Author. Question numbers BT1, BT3, BT4 (source for Questions 1</w:t>
            </w:r>
            <w:r>
              <w:rPr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</w:rPr>
              <w:t>3 in Protocol Text).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basement and flooring-type questions (in source protocols) are observations made by a technician who walks through the home.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The source instruments were administered via a paper-and-pencil questionnaire. However, the PhenX Working Group recognizes that these questions may be administered via a computer-assisted interview. </w:t>
            </w:r>
            <w:r>
              <w:rPr>
                <w:rFonts w:cs="Arial" w:ascii="Arial" w:hAnsi="Arial"/>
                <w:sz w:val="22"/>
                <w:szCs w:val="22"/>
              </w:rPr>
              <w:t>Computer software is necessary to develop computer-assisted instruments. The technician will require a laptop computer or handheld computer to administer a computer-assisted questionnaire.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Proxy-administered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 and Review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280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The </w:t>
            </w:r>
            <w:hyperlink r:id="rId3" w:tgtFrame="_blank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Expert Review Panel #2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(ERP 2) reviewed the measures in the Demographics, Environmental Exposures, and Social Environments domains. </w:t>
            </w:r>
          </w:p>
          <w:p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Guidance from ERP 2 includes:</w:t>
            </w:r>
          </w:p>
          <w:p>
            <w:pPr>
              <w:pStyle w:val="NormalWeb"/>
              <w:spacing w:before="28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•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No significant changes to measure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Characteristics of Current Residence-Technician Observations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Environmental Exposures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 May 31, 2016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>Characteristics of Current Residence-Technician Observations</w:t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casweb.org/" TargetMode="External"/><Relationship Id="rId3" Type="http://schemas.openxmlformats.org/officeDocument/2006/relationships/hyperlink" Target="https://phenx.org/Default.aspx?tabid=1010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2016-02-10T19:32:00Z</dcterms:created>
  <dc:creator>whuggins</dc:creator>
  <dc:description/>
  <cp:keywords/>
  <dc:language>en-US</dc:language>
  <cp:lastModifiedBy>Hwang, Stephen</cp:lastModifiedBy>
  <cp:lastPrinted>2009-03-24T15:13:00Z</cp:lastPrinted>
  <dcterms:modified xsi:type="dcterms:W3CDTF">2016-05-11T19:49:00Z</dcterms:modified>
  <cp:revision>10</cp:revision>
  <dc:subject/>
  <dc:title/>
</cp:coreProperties>
</file>