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Eating Disorders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Laboratory Meal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A clinical assessment to provide objective assessment of food intake (e.g., multi-item meal paradigm).  </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rHeight w:val="1207"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laboratory multi-item meal paradigm provides an observed, objective, standardized assessment of eating, including caloric intake, macronutrient and micronutrient content, pattern of eating, meal architecture, and abnormal eating behaviors.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bCs/>
                <w:sz w:val="22"/>
                <w:szCs w:val="22"/>
              </w:rPr>
            </w:pPr>
            <w:r>
              <w:rPr>
                <w:rFonts w:cs="Arial" w:ascii="Arial" w:hAnsi="Arial"/>
                <w:b/>
                <w:bCs/>
                <w:sz w:val="22"/>
                <w:szCs w:val="22"/>
              </w:rPr>
              <w:t xml:space="preserve">Laboratory Eating Behavior – Multi-item Meal Paradigm: </w:t>
            </w:r>
          </w:p>
          <w:p>
            <w:pPr>
              <w:pStyle w:val="Normal"/>
              <w:spacing w:before="0" w:after="0"/>
              <w:contextualSpacing/>
              <w:rPr>
                <w:rFonts w:ascii="Arial" w:hAnsi="Arial" w:cs="Arial"/>
                <w:b/>
                <w:b/>
                <w:bCs/>
                <w:sz w:val="22"/>
                <w:szCs w:val="22"/>
              </w:rPr>
            </w:pPr>
            <w:r>
              <w:rPr>
                <w:rFonts w:cs="Arial" w:ascii="Arial" w:hAnsi="Arial"/>
                <w:b/>
                <w:bCs/>
                <w:sz w:val="22"/>
                <w:szCs w:val="22"/>
              </w:rPr>
            </w:r>
          </w:p>
          <w:p>
            <w:pPr>
              <w:pStyle w:val="Normal"/>
              <w:spacing w:before="0" w:after="0"/>
              <w:contextualSpacing/>
              <w:rPr>
                <w:rFonts w:ascii="Arial" w:hAnsi="Arial" w:cs="Arial"/>
                <w:sz w:val="22"/>
                <w:szCs w:val="22"/>
              </w:rPr>
            </w:pPr>
            <w:r>
              <w:rPr>
                <w:rFonts w:cs="Arial" w:ascii="Arial" w:hAnsi="Arial"/>
                <w:sz w:val="22"/>
                <w:szCs w:val="22"/>
              </w:rPr>
              <w:t>Before the meal:</w:t>
            </w:r>
          </w:p>
          <w:p>
            <w:pPr>
              <w:pStyle w:val="Normal"/>
              <w:spacing w:before="0" w:after="0"/>
              <w:contextualSpacing/>
              <w:rPr/>
            </w:pPr>
            <w:r>
              <w:rPr>
                <w:rFonts w:cs="Arial" w:ascii="Arial" w:hAnsi="Arial"/>
                <w:sz w:val="22"/>
                <w:szCs w:val="22"/>
              </w:rPr>
              <w:t xml:space="preserve">On the morning of a laboratory lunch meal, study participants eat a standardized breakfast. The time and content of the breakfast is consistent across all participants. For example, for breakfast is usually provided at 8 a.m., and consists of ~300 kcal (English muffin, pat of butter, and 8 oz apple juice). Participants are asked to have nothing to eat or drink (except water) between breakfast and the lunch meal.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Meal Preparation Instructions:</w:t>
            </w:r>
          </w:p>
          <w:p>
            <w:pPr>
              <w:pStyle w:val="Normal"/>
              <w:spacing w:before="0" w:after="0"/>
              <w:contextualSpacing/>
              <w:rPr/>
            </w:pPr>
            <w:r>
              <w:rPr>
                <w:rFonts w:cs="Arial" w:ascii="Arial" w:hAnsi="Arial"/>
                <w:sz w:val="22"/>
                <w:szCs w:val="22"/>
              </w:rPr>
              <w:t xml:space="preserve">For a Multi-Item Meal, the laboratory lunch consists of an array of food items of differing caloric and fat content. All food items, utensils, and serving dishes are weighed in advance and placed on the table according to a specific layout map.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tbl>
            <w:tblPr>
              <w:tblW w:w="6816" w:type="dxa"/>
              <w:jc w:val="left"/>
              <w:tblInd w:w="0" w:type="dxa"/>
              <w:tblLayout w:type="fixed"/>
              <w:tblCellMar>
                <w:top w:w="0" w:type="dxa"/>
                <w:left w:w="108" w:type="dxa"/>
                <w:bottom w:w="0" w:type="dxa"/>
                <w:right w:w="108" w:type="dxa"/>
              </w:tblCellMar>
            </w:tblPr>
            <w:tblGrid>
              <w:gridCol w:w="3408"/>
              <w:gridCol w:w="3408"/>
            </w:tblGrid>
            <w:tr>
              <w:trPr/>
              <w:tc>
                <w:tcPr>
                  <w:tcW w:w="681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Sample meal items (amounts sufficient to measure binge eating)</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Water</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3 16 fl oz bottles</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Iced tea bottles</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3 16 fl oz bottles</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Diet soda</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3 0.5 liter bottles</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M&amp;Ms</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~2 king sized bags in a bowl</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Oreo cookies</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30 pieces on a plate</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Dunkin Donuts munchkins</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25 pieces, in the box</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Vanilla ice cream</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Half gallon container</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Popcorn</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Large bag, in a bowl</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Fried chicken </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8 pieces, 2 each of breast, wing, thigh &amp; drumstick</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Grilled chicken cutlets</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6 pieces</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Tuna, water packed</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10 oz can, drained, in bowl</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Macaroni &amp; Cheese</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1 20-oz package</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French fries</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Large plate</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White bread</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4 slices</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Whole wheat bread</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4 slices</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Pickles</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6 spears</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Salad – lettuce &amp; carrot</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1 boat</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Fruit salad</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1 boat</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Mayonnaise</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1 squirt bottle</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Ketchup</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1 squirt bottle</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Mustard</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1 squirt bottle</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Butter</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½ stick (4 Tbs)</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Salad dressing</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1 8-fl oz bottle</w:t>
                  </w:r>
                </w:p>
              </w:tc>
            </w:tr>
            <w:tr>
              <w:trPr/>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Salt &amp; pepper</w:t>
                  </w:r>
                </w:p>
              </w:tc>
              <w:tc>
                <w:tcPr>
                  <w:tcW w:w="340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1 shaker of each</w:t>
                  </w:r>
                </w:p>
              </w:tc>
            </w:tr>
          </w:tbl>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The participant is brought to the meal room by the research staff. Once in the room, the participant is given a standardized instruction. For example, “We would like this meal to resemble a normal meal that you would eat outside of the laboratory. Please eat as much or as little as you would like. You will have up to one hour to eat this meal. When you are sure that you are done eating, please signal that you are finished by ringing this bell.”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The meal instruction can be modified. For example, if the study is measuring binge eating, the instruction might be, “Let yourself go and eat as much as you would like.”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xml:space="preserve">Participants are left alone in the room during the meal and are observed via one-way mirror or closed-circuit TV.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After the meal:</w:t>
            </w:r>
          </w:p>
          <w:p>
            <w:pPr>
              <w:pStyle w:val="Normal"/>
              <w:spacing w:before="0" w:after="0"/>
              <w:contextualSpacing/>
              <w:rPr>
                <w:rFonts w:ascii="Arial" w:hAnsi="Arial" w:cs="Arial"/>
                <w:sz w:val="22"/>
                <w:szCs w:val="22"/>
              </w:rPr>
            </w:pPr>
            <w:r>
              <w:rPr>
                <w:rFonts w:cs="Arial" w:ascii="Arial" w:hAnsi="Arial"/>
                <w:sz w:val="22"/>
                <w:szCs w:val="22"/>
              </w:rPr>
              <w:t>All food items need to be reweighed.</w:t>
            </w:r>
          </w:p>
          <w:p>
            <w:pPr>
              <w:pStyle w:val="Normal"/>
              <w:spacing w:before="0" w:after="0"/>
              <w:contextualSpacing/>
              <w:rPr>
                <w:rFonts w:ascii="Arial" w:hAnsi="Arial" w:cs="Arial"/>
                <w:sz w:val="22"/>
                <w:szCs w:val="22"/>
              </w:rPr>
            </w:pPr>
            <w:r>
              <w:rPr>
                <w:rFonts w:cs="Arial" w:ascii="Arial" w:hAnsi="Arial"/>
                <w:sz w:val="22"/>
                <w:szCs w:val="22"/>
              </w:rPr>
              <w:t>The following can be calculated:</w:t>
            </w:r>
          </w:p>
          <w:p>
            <w:pPr>
              <w:pStyle w:val="Normal"/>
              <w:spacing w:before="0" w:after="0"/>
              <w:contextualSpacing/>
              <w:rPr>
                <w:rFonts w:ascii="Arial" w:hAnsi="Arial" w:cs="Arial"/>
                <w:sz w:val="22"/>
                <w:szCs w:val="22"/>
              </w:rPr>
            </w:pPr>
            <w:r>
              <w:rPr>
                <w:rFonts w:cs="Arial" w:ascii="Arial" w:hAnsi="Arial"/>
                <w:sz w:val="22"/>
                <w:szCs w:val="22"/>
              </w:rPr>
            </w:r>
          </w:p>
          <w:p>
            <w:pPr>
              <w:pStyle w:val="ListParagraph"/>
              <w:numPr>
                <w:ilvl w:val="0"/>
                <w:numId w:val="1"/>
              </w:numPr>
              <w:rPr>
                <w:rFonts w:ascii="Arial" w:hAnsi="Arial" w:cs="Arial"/>
                <w:sz w:val="22"/>
                <w:szCs w:val="22"/>
              </w:rPr>
            </w:pPr>
            <w:r>
              <w:rPr>
                <w:rFonts w:cs="Arial" w:ascii="Arial" w:hAnsi="Arial"/>
                <w:sz w:val="22"/>
                <w:szCs w:val="22"/>
              </w:rPr>
              <w:t>Weight in grams of food consumed</w:t>
            </w:r>
          </w:p>
          <w:p>
            <w:pPr>
              <w:pStyle w:val="ListParagraph"/>
              <w:numPr>
                <w:ilvl w:val="0"/>
                <w:numId w:val="1"/>
              </w:numPr>
              <w:rPr>
                <w:rFonts w:ascii="Arial" w:hAnsi="Arial" w:cs="Arial"/>
                <w:sz w:val="22"/>
                <w:szCs w:val="22"/>
              </w:rPr>
            </w:pPr>
            <w:r>
              <w:rPr>
                <w:rFonts w:cs="Arial" w:ascii="Arial" w:hAnsi="Arial"/>
                <w:sz w:val="22"/>
                <w:szCs w:val="22"/>
              </w:rPr>
              <w:t>Calories consumed (kcal)</w:t>
            </w:r>
          </w:p>
          <w:p>
            <w:pPr>
              <w:pStyle w:val="ListParagraph"/>
              <w:numPr>
                <w:ilvl w:val="0"/>
                <w:numId w:val="1"/>
              </w:numPr>
              <w:rPr/>
            </w:pPr>
            <w:r>
              <w:rPr>
                <w:rFonts w:cs="Arial" w:ascii="Arial" w:hAnsi="Arial"/>
                <w:sz w:val="22"/>
                <w:szCs w:val="22"/>
              </w:rPr>
              <w:t xml:space="preserve">Macronutrient composition, including grams of carbohydrate (CHO), protein (PRO), and fat (FAT) </w:t>
            </w:r>
          </w:p>
          <w:p>
            <w:pPr>
              <w:pStyle w:val="ListParagraph"/>
              <w:numPr>
                <w:ilvl w:val="0"/>
                <w:numId w:val="1"/>
              </w:numPr>
              <w:rPr>
                <w:rFonts w:ascii="Arial" w:hAnsi="Arial" w:cs="Arial"/>
                <w:sz w:val="22"/>
                <w:szCs w:val="22"/>
              </w:rPr>
            </w:pPr>
            <w:r>
              <w:rPr>
                <w:rFonts w:cs="Arial" w:ascii="Arial" w:hAnsi="Arial"/>
                <w:sz w:val="22"/>
                <w:szCs w:val="22"/>
              </w:rPr>
              <w:t>Diet energy density score, defined as intake (kcal) divided by weight (g) of food and beverage</w:t>
            </w:r>
          </w:p>
          <w:p>
            <w:pPr>
              <w:pStyle w:val="ListParagraph"/>
              <w:numPr>
                <w:ilvl w:val="0"/>
                <w:numId w:val="1"/>
              </w:numPr>
              <w:rPr>
                <w:rFonts w:ascii="Arial" w:hAnsi="Arial" w:cs="Arial"/>
                <w:sz w:val="22"/>
                <w:szCs w:val="22"/>
              </w:rPr>
            </w:pPr>
            <w:r>
              <w:rPr>
                <w:rFonts w:cs="Arial" w:ascii="Arial" w:hAnsi="Arial"/>
                <w:sz w:val="22"/>
                <w:szCs w:val="22"/>
              </w:rPr>
              <w:t>Diet variety score, defined as the cumulative number of different caloric foods and beverages</w:t>
            </w:r>
          </w:p>
          <w:p>
            <w:pPr>
              <w:pStyle w:val="Normal"/>
              <w:rPr>
                <w:rFonts w:ascii="Arial" w:hAnsi="Arial" w:cs="Arial"/>
                <w:sz w:val="22"/>
                <w:szCs w:val="22"/>
              </w:rPr>
            </w:pPr>
            <w:r>
              <w:rPr>
                <w:rFonts w:cs="Arial" w:ascii="Arial" w:hAnsi="Arial"/>
                <w:sz w:val="22"/>
                <w:szCs w:val="22"/>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Style w:val="DefaultChar"/>
                <w:sz w:val="22"/>
                <w:szCs w:val="22"/>
              </w:rPr>
              <w:t>Adults, ages 18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280" w:after="0"/>
              <w:rPr>
                <w:rFonts w:ascii="Arial" w:hAnsi="Arial" w:cs="Arial"/>
                <w:sz w:val="22"/>
                <w:szCs w:val="22"/>
                <w:highlight w:val="yellow"/>
              </w:rPr>
            </w:pPr>
            <w:r>
              <w:rPr>
                <w:rFonts w:cs="Arial" w:ascii="Arial" w:hAnsi="Arial"/>
                <w:sz w:val="22"/>
                <w:szCs w:val="22"/>
                <w:lang w:val="en"/>
              </w:rPr>
              <w:t xml:space="preserve">Mayer, L. E. S., Schebendach, J., Shingleton, R. M., &amp; Walsh, B. T. (2011). Eating behavior in anorexia nervosa: Before and after treatment. </w:t>
            </w:r>
            <w:r>
              <w:rPr>
                <w:rFonts w:cs="Arial" w:ascii="Arial" w:hAnsi="Arial"/>
                <w:i/>
                <w:sz w:val="22"/>
                <w:szCs w:val="22"/>
                <w:lang w:val="en"/>
              </w:rPr>
              <w:t>International Journal of Eating Disorders, 45,</w:t>
            </w:r>
            <w:r>
              <w:rPr>
                <w:rFonts w:cs="Arial" w:ascii="Arial" w:hAnsi="Arial"/>
                <w:sz w:val="22"/>
                <w:szCs w:val="22"/>
                <w:lang w:val="en"/>
              </w:rPr>
              <w:t xml:space="preserve"> 290–293.</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 xml:space="preserve">Personnel should be trained in the care of participants with eating disorders and administration of laboratory eating behavior paradigm.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Laboratory equipped to perform the eating behavior paradigm (e.g., closed-circuit television, variety of food, scales to weigh food consumed, etc.)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Clinical assessment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 xml:space="preserve">Tanofsky-Kraff, M., Haynos, A., Kotler, L., Yanovski, S., &amp; Yanovski, J. (2007). Laboratory-based studies of eating among children and adolescents. </w:t>
            </w:r>
            <w:r>
              <w:rPr>
                <w:rFonts w:cs="Arial" w:ascii="Arial" w:hAnsi="Arial"/>
                <w:i/>
                <w:sz w:val="22"/>
                <w:szCs w:val="22"/>
              </w:rPr>
              <w:t>Current Nutrition &amp; Food Science, 3</w:t>
            </w:r>
            <w:r>
              <w:rPr>
                <w:rFonts w:cs="Arial" w:ascii="Arial" w:hAnsi="Arial"/>
                <w:sz w:val="22"/>
                <w:szCs w:val="22"/>
              </w:rPr>
              <w:t>(1), 55</w:t>
            </w:r>
            <w:r>
              <w:rPr>
                <w:rFonts w:cs="Arial" w:ascii="Arial" w:hAnsi="Arial"/>
                <w:sz w:val="22"/>
                <w:szCs w:val="22"/>
                <w:lang w:val="en"/>
              </w:rPr>
              <w:t>–</w:t>
            </w:r>
            <w:r>
              <w:rPr>
                <w:rFonts w:cs="Arial" w:ascii="Arial" w:hAnsi="Arial"/>
                <w:sz w:val="22"/>
                <w:szCs w:val="22"/>
              </w:rPr>
              <w:t xml:space="preserve">74.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Tanofsky-Kraff, M., McDuffie, J. R., Yanovski, S., Kozlosky, M., Schvey, N. A., Shomaker, L. B., Salaita, C., &amp; Yanovski, J. (2009). Laboratory assessment of the food intake of children and adolescents with loss of control eating. </w:t>
            </w:r>
            <w:r>
              <w:rPr>
                <w:rFonts w:cs="Arial" w:ascii="Arial" w:hAnsi="Arial"/>
                <w:i/>
                <w:sz w:val="22"/>
                <w:szCs w:val="22"/>
              </w:rPr>
              <w:t>American Journal of Clinical Nutrition, 89</w:t>
            </w:r>
            <w:r>
              <w:rPr>
                <w:rFonts w:cs="Arial" w:ascii="Arial" w:hAnsi="Arial"/>
                <w:sz w:val="22"/>
                <w:szCs w:val="22"/>
              </w:rPr>
              <w:t>(3), 738</w:t>
            </w:r>
            <w:r>
              <w:rPr>
                <w:rFonts w:cs="Arial" w:ascii="Arial" w:hAnsi="Arial"/>
                <w:sz w:val="22"/>
                <w:szCs w:val="22"/>
                <w:lang w:val="en"/>
              </w:rPr>
              <w:t>–</w:t>
            </w:r>
            <w:r>
              <w:rPr>
                <w:rFonts w:cs="Arial" w:ascii="Arial" w:hAnsi="Arial"/>
                <w:sz w:val="22"/>
                <w:szCs w:val="22"/>
              </w:rPr>
              <w:t>745.</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Walsh, B. T. (2011). The importance of eating behavior in eating disorders. </w:t>
            </w:r>
            <w:r>
              <w:rPr>
                <w:rFonts w:cs="Arial" w:ascii="Arial" w:hAnsi="Arial"/>
                <w:i/>
                <w:sz w:val="22"/>
                <w:szCs w:val="22"/>
              </w:rPr>
              <w:t>Physiology and Behavior, 104</w:t>
            </w:r>
            <w:r>
              <w:rPr>
                <w:rFonts w:cs="Arial" w:ascii="Arial" w:hAnsi="Arial"/>
                <w:sz w:val="22"/>
                <w:szCs w:val="22"/>
              </w:rPr>
              <w:t>(4), 525</w:t>
            </w:r>
            <w:r>
              <w:rPr>
                <w:rFonts w:cs="Arial" w:ascii="Arial" w:hAnsi="Arial"/>
                <w:sz w:val="22"/>
                <w:szCs w:val="22"/>
                <w:lang w:val="en"/>
              </w:rPr>
              <w:t>–</w:t>
            </w:r>
            <w:r>
              <w:rPr>
                <w:rFonts w:cs="Arial" w:ascii="Arial" w:hAnsi="Arial"/>
                <w:sz w:val="22"/>
                <w:szCs w:val="22"/>
              </w:rPr>
              <w:t>529.</w:t>
            </w:r>
          </w:p>
          <w:p>
            <w:pPr>
              <w:pStyle w:val="Normal"/>
              <w:spacing w:before="0" w:after="0"/>
              <w:contextualSpacing/>
              <w:rPr>
                <w:rFonts w:ascii="Arial" w:hAnsi="Arial" w:cs="Arial"/>
                <w:sz w:val="22"/>
                <w:szCs w:val="22"/>
              </w:rPr>
            </w:pPr>
            <w:r>
              <w:rPr>
                <w:rFonts w:cs="Arial" w:ascii="Arial" w:hAnsi="Arial"/>
                <w:sz w:val="22"/>
                <w:szCs w:val="22"/>
              </w:rPr>
            </w:r>
          </w:p>
        </w:tc>
      </w:tr>
    </w:tbl>
    <w:p>
      <w:pPr>
        <w:pStyle w:val="Normal"/>
        <w:spacing w:before="0" w:after="0"/>
        <w:contextualSpacing/>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tabs>
          <w:tab w:val="clear" w:pos="720"/>
          <w:tab w:val="left" w:pos="3330" w:leader="none"/>
        </w:tabs>
        <w:rPr>
          <w:rFonts w:ascii="Arial" w:hAnsi="Arial" w:cs="Arial"/>
          <w:sz w:val="22"/>
          <w:szCs w:val="22"/>
        </w:rPr>
      </w:pPr>
      <w:r>
        <w:rPr>
          <w:rFonts w:cs="Arial" w:ascii="Arial" w:hAnsi="Arial"/>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eastAsia="Arial" w:cs="Arial" w:ascii="Arial" w:hAnsi="Arial"/>
        <w:b/>
        <w:sz w:val="20"/>
        <w:szCs w:val="20"/>
      </w:rPr>
      <w:t xml:space="preserve"> </w:t>
    </w:r>
    <w:r>
      <w:rPr>
        <w:rFonts w:cs="Arial" w:ascii="Arial" w:hAnsi="Arial"/>
        <w:b/>
        <w:sz w:val="20"/>
        <w:szCs w:val="20"/>
      </w:rPr>
      <w:t>Laboratory Meal</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pPr>
    <w:r>
      <w:rPr>
        <w:rFonts w:cs="Arial" w:ascii="Arial" w:hAnsi="Arial"/>
        <w:b/>
        <w:sz w:val="20"/>
        <w:szCs w:val="20"/>
      </w:rPr>
      <w:t xml:space="preserve">Domain: Eating Disorders  </w:t>
    </w:r>
  </w:p>
  <w:p>
    <w:pPr>
      <w:pStyle w:val="Normal"/>
      <w:rPr>
        <w:rFonts w:ascii="Arial" w:hAnsi="Arial" w:cs="Arial"/>
        <w:b/>
        <w:b/>
        <w:sz w:val="20"/>
        <w:szCs w:val="20"/>
      </w:rPr>
    </w:pPr>
    <w:r>
      <w:rPr>
        <w:rFonts w:cs="Arial" w:ascii="Arial" w:hAnsi="Arial"/>
        <w:b/>
        <w:sz w:val="20"/>
        <w:szCs w:val="20"/>
      </w:rPr>
      <w:t xml:space="preserve">Release Date:  </w:t>
    </w:r>
  </w:p>
  <w:p>
    <w:pPr>
      <w:pStyle w:val="Normal"/>
      <w:rPr/>
    </w:pPr>
    <w:r>
      <w:rPr>
        <w:rFonts w:cs="Arial" w:ascii="Arial" w:hAnsi="Arial"/>
        <w:b/>
        <w:sz w:val="20"/>
        <w:szCs w:val="20"/>
      </w:rPr>
      <w:t>Laboratory Meal</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Maintitle">
    <w:name w:val="maintitle"/>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2015-08-07T16:12:00Z</dcterms:created>
  <dc:creator>whuggins</dc:creator>
  <dc:description/>
  <cp:keywords/>
  <dc:language>en-US</dc:language>
  <cp:lastModifiedBy>Gaddis, Nathan</cp:lastModifiedBy>
  <cp:lastPrinted>2009-03-24T15:13:00Z</cp:lastPrinted>
  <dcterms:modified xsi:type="dcterms:W3CDTF">2015-08-07T16:12:00Z</dcterms:modified>
  <cp:revision>2</cp:revision>
  <dc:subject/>
  <dc:title/>
</cp:coreProperties>
</file>