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0"/>
        <w:ind w:left="-720" w:right="-432" w:hanging="0"/>
        <w:contextualSpacing/>
        <w:rPr>
          <w:b/>
          <w:b/>
        </w:rPr>
      </w:pPr>
      <w:r>
        <w:rPr>
          <w:b/>
        </w:rPr>
      </w:r>
    </w:p>
    <w:tbl>
      <w:tblPr>
        <w:tblW w:w="9360" w:type="dxa"/>
        <w:jc w:val="center"/>
        <w:tblInd w:w="0" w:type="dxa"/>
        <w:tblLayout w:type="fixed"/>
        <w:tblCellMar>
          <w:top w:w="115" w:type="dxa"/>
          <w:left w:w="115" w:type="dxa"/>
          <w:bottom w:w="115" w:type="dxa"/>
          <w:right w:w="115" w:type="dxa"/>
        </w:tblCellMar>
      </w:tblPr>
      <w:tblGrid>
        <w:gridCol w:w="2304"/>
        <w:gridCol w:w="7056"/>
      </w:tblGrid>
      <w:tr>
        <w:trPr/>
        <w:tc>
          <w:tcPr>
            <w:tcW w:w="9360" w:type="dxa"/>
            <w:gridSpan w:val="2"/>
            <w:tcBorders>
              <w:top w:val="single" w:sz="4" w:space="0" w:color="000000"/>
              <w:left w:val="single" w:sz="4" w:space="0" w:color="000000"/>
              <w:bottom w:val="single" w:sz="4" w:space="0" w:color="000000"/>
              <w:right w:val="single" w:sz="4" w:space="0" w:color="000000"/>
            </w:tcBorders>
          </w:tcPr>
          <w:p>
            <w:pPr>
              <w:pStyle w:val="Normal"/>
              <w:spacing w:before="0" w:after="0"/>
              <w:ind w:left="120" w:hanging="0"/>
              <w:contextualSpacing/>
              <w:jc w:val="center"/>
              <w:rPr>
                <w:rFonts w:ascii="Arial" w:hAnsi="Arial" w:cs="Arial"/>
                <w:b/>
                <w:b/>
                <w:sz w:val="22"/>
                <w:szCs w:val="22"/>
              </w:rPr>
            </w:pPr>
            <w:r>
              <w:rPr>
                <w:rFonts w:cs="Arial" w:ascii="Arial" w:hAnsi="Arial"/>
                <w:b/>
                <w:sz w:val="22"/>
                <w:szCs w:val="22"/>
              </w:rPr>
              <w:t xml:space="preserve">About the Measure </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14"/>
                <w:szCs w:val="14"/>
              </w:rPr>
            </w:pPr>
            <w:r>
              <w:rPr>
                <w:rFonts w:cs="Arial" w:ascii="Arial" w:hAnsi="Arial"/>
                <w:b/>
                <w:sz w:val="22"/>
                <w:szCs w:val="22"/>
              </w:rPr>
              <w:t>Domain</w:t>
            </w:r>
          </w:p>
        </w:tc>
        <w:tc>
          <w:tcPr>
            <w:tcW w:w="7056"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sz w:val="22"/>
                <w:szCs w:val="22"/>
              </w:rPr>
            </w:pPr>
            <w:r>
              <w:rPr>
                <w:rFonts w:cs="Arial" w:ascii="Arial" w:hAnsi="Arial"/>
                <w:sz w:val="22"/>
                <w:szCs w:val="22"/>
              </w:rPr>
              <w:t>Ocular</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Measure</w:t>
            </w:r>
          </w:p>
        </w:tc>
        <w:tc>
          <w:tcPr>
            <w:tcW w:w="7056"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sz w:val="22"/>
                <w:szCs w:val="22"/>
              </w:rPr>
            </w:pPr>
            <w:r>
              <w:rPr>
                <w:rFonts w:cs="Arial" w:ascii="Arial" w:hAnsi="Arial"/>
                <w:sz w:val="22"/>
                <w:szCs w:val="22"/>
              </w:rPr>
              <w:t>Visual Field: Field Protocol</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Definition</w:t>
            </w:r>
          </w:p>
        </w:tc>
        <w:tc>
          <w:tcPr>
            <w:tcW w:w="7056"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sz w:val="22"/>
                <w:szCs w:val="22"/>
              </w:rPr>
            </w:pPr>
            <w:r>
              <w:rPr>
                <w:rFonts w:cs="Arial" w:ascii="Arial" w:hAnsi="Arial"/>
                <w:color w:val="000000"/>
                <w:sz w:val="22"/>
                <w:szCs w:val="22"/>
                <w:lang w:val="en"/>
              </w:rPr>
              <w:t xml:space="preserve">Measurement of </w:t>
            </w:r>
            <w:r>
              <w:rPr>
                <w:rFonts w:cs="Arial" w:ascii="Arial" w:hAnsi="Arial"/>
                <w:color w:val="000000"/>
                <w:sz w:val="22"/>
                <w:szCs w:val="22"/>
              </w:rPr>
              <w:t xml:space="preserve">an individual's vision field (central and peripheral vision) </w:t>
            </w:r>
            <w:r>
              <w:rPr>
                <w:rFonts w:cs="Arial" w:ascii="Arial" w:hAnsi="Arial"/>
                <w:sz w:val="22"/>
                <w:szCs w:val="22"/>
              </w:rPr>
              <w:t>will be tested with</w:t>
            </w:r>
            <w:r>
              <w:rPr>
                <w:rFonts w:cs="Arial" w:ascii="Arial" w:hAnsi="Arial"/>
                <w:color w:val="000000"/>
                <w:sz w:val="22"/>
                <w:szCs w:val="22"/>
              </w:rPr>
              <w:t xml:space="preserve"> </w:t>
            </w:r>
            <w:r>
              <w:rPr>
                <w:rFonts w:cs="Arial" w:ascii="Arial" w:hAnsi="Arial"/>
                <w:sz w:val="22"/>
                <w:szCs w:val="22"/>
              </w:rPr>
              <w:t>Frequency Doubling Technology (FDT) using the Humphrey Matrix perimetry instrument.</w:t>
            </w:r>
          </w:p>
        </w:tc>
      </w:tr>
    </w:tbl>
    <w:p>
      <w:pPr>
        <w:pStyle w:val="Normal"/>
        <w:spacing w:before="0" w:after="0"/>
        <w:contextualSpacing/>
        <w:rPr>
          <w:rFonts w:ascii="Arial" w:hAnsi="Arial" w:cs="Arial"/>
          <w:b/>
          <w:b/>
          <w:sz w:val="22"/>
          <w:szCs w:val="22"/>
        </w:rPr>
      </w:pPr>
      <w:r>
        <w:rPr>
          <w:rFonts w:cs="Arial" w:ascii="Arial" w:hAnsi="Arial"/>
          <w:b/>
          <w:sz w:val="22"/>
          <w:szCs w:val="22"/>
        </w:rPr>
      </w:r>
    </w:p>
    <w:tbl>
      <w:tblPr>
        <w:tblW w:w="9360" w:type="dxa"/>
        <w:jc w:val="center"/>
        <w:tblInd w:w="0" w:type="dxa"/>
        <w:tblLayout w:type="fixed"/>
        <w:tblCellMar>
          <w:top w:w="115" w:type="dxa"/>
          <w:left w:w="115" w:type="dxa"/>
          <w:bottom w:w="115" w:type="dxa"/>
          <w:right w:w="115" w:type="dxa"/>
        </w:tblCellMar>
      </w:tblPr>
      <w:tblGrid>
        <w:gridCol w:w="2304"/>
        <w:gridCol w:w="7056"/>
      </w:tblGrid>
      <w:tr>
        <w:trPr/>
        <w:tc>
          <w:tcPr>
            <w:tcW w:w="9360" w:type="dxa"/>
            <w:gridSpan w:val="2"/>
            <w:tcBorders>
              <w:top w:val="single" w:sz="4" w:space="0" w:color="000000"/>
              <w:left w:val="single" w:sz="4" w:space="0" w:color="000000"/>
              <w:bottom w:val="single" w:sz="4" w:space="0" w:color="000000"/>
              <w:right w:val="single" w:sz="4" w:space="0" w:color="000000"/>
            </w:tcBorders>
          </w:tcPr>
          <w:p>
            <w:pPr>
              <w:pStyle w:val="Normal"/>
              <w:spacing w:before="0" w:after="0"/>
              <w:ind w:left="120" w:hanging="0"/>
              <w:contextualSpacing/>
              <w:jc w:val="center"/>
              <w:rPr>
                <w:rFonts w:ascii="Arial" w:hAnsi="Arial" w:cs="Arial"/>
                <w:b/>
                <w:b/>
                <w:sz w:val="22"/>
                <w:szCs w:val="22"/>
              </w:rPr>
            </w:pPr>
            <w:r>
              <w:rPr>
                <w:rFonts w:cs="Arial" w:ascii="Arial" w:hAnsi="Arial"/>
                <w:b/>
                <w:sz w:val="22"/>
                <w:szCs w:val="22"/>
              </w:rPr>
              <w:t>About the Protocol</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Description of Protocol</w:t>
            </w:r>
          </w:p>
        </w:tc>
        <w:tc>
          <w:tcPr>
            <w:tcW w:w="7056"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sz w:val="22"/>
                <w:szCs w:val="22"/>
              </w:rPr>
            </w:pPr>
            <w:r>
              <w:rPr>
                <w:rFonts w:cs="Arial" w:ascii="Arial" w:hAnsi="Arial"/>
                <w:sz w:val="22"/>
                <w:szCs w:val="22"/>
              </w:rPr>
              <w:t xml:space="preserve">Visual field testing is performed on each eye of the participant using the Full-Threshold N-30 (N-30-F) and the 24-2 Threshold procedures on the Humphrey Matrix Frequency Doubling Technology (FDT) visual field instrument </w:t>
            </w:r>
            <w:r>
              <w:rPr>
                <w:rFonts w:cs="Arial" w:ascii="Arial" w:hAnsi="Arial"/>
                <w:color w:val="231F20"/>
                <w:sz w:val="22"/>
                <w:szCs w:val="22"/>
              </w:rPr>
              <w:t>(Carl Zeiss Meditec, Inc., Dublin, CA)</w:t>
            </w:r>
            <w:r>
              <w:rPr>
                <w:rFonts w:cs="Arial" w:ascii="Arial" w:hAnsi="Arial"/>
                <w:sz w:val="22"/>
                <w:szCs w:val="22"/>
              </w:rPr>
              <w:t>.</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Protocol text</w:t>
            </w:r>
          </w:p>
        </w:tc>
        <w:tc>
          <w:tcPr>
            <w:tcW w:w="7056" w:type="dxa"/>
            <w:tcBorders>
              <w:top w:val="single" w:sz="4" w:space="0" w:color="000000"/>
              <w:left w:val="single" w:sz="4" w:space="0" w:color="000000"/>
              <w:bottom w:val="single" w:sz="4" w:space="0" w:color="000000"/>
              <w:right w:val="single" w:sz="4" w:space="0" w:color="000000"/>
            </w:tcBorders>
          </w:tcPr>
          <w:p>
            <w:pPr>
              <w:pStyle w:val="Normal"/>
              <w:rPr/>
            </w:pPr>
            <w:r>
              <w:rPr>
                <w:rFonts w:cs="Arial" w:ascii="Arial" w:hAnsi="Arial"/>
                <w:sz w:val="22"/>
                <w:szCs w:val="22"/>
              </w:rPr>
              <w:t>Subjects will have two Frequency Doubling Technology (FDT) tests using the Humphrey Matrix, the Full-Threshold N-30 (N-30-F) and the 24-2 Threshold procedures performed on each eye. To perform both the N-30-F and 24-2 tests, it is essential that you have a Humphrey Matrix and not an original FDT instrument.</w:t>
            </w:r>
          </w:p>
          <w:p>
            <w:pPr>
              <w:pStyle w:val="Default"/>
              <w:rPr>
                <w:rFonts w:ascii="Arial" w:hAnsi="Arial" w:cs="Arial"/>
                <w:sz w:val="22"/>
                <w:szCs w:val="22"/>
              </w:rPr>
            </w:pPr>
            <w:r>
              <w:rPr>
                <w:rFonts w:cs="Arial"/>
                <w:sz w:val="22"/>
                <w:szCs w:val="22"/>
              </w:rPr>
            </w:r>
          </w:p>
          <w:p>
            <w:pPr>
              <w:pStyle w:val="Default"/>
              <w:rPr>
                <w:sz w:val="22"/>
                <w:szCs w:val="22"/>
              </w:rPr>
            </w:pPr>
            <w:r>
              <w:rPr>
                <w:sz w:val="22"/>
                <w:szCs w:val="22"/>
              </w:rPr>
              <w:t>The tests should be administered using the Subject’s normal distance correction (glasses or contact lenses). Eyeglasses with bifocal corrections can be used.</w:t>
            </w:r>
          </w:p>
          <w:p>
            <w:pPr>
              <w:pStyle w:val="Default"/>
              <w:rPr>
                <w:b/>
                <w:b/>
                <w:bCs/>
                <w:sz w:val="22"/>
                <w:szCs w:val="22"/>
              </w:rPr>
            </w:pPr>
            <w:r>
              <w:rPr>
                <w:b/>
                <w:bCs/>
                <w:sz w:val="22"/>
                <w:szCs w:val="22"/>
              </w:rPr>
            </w:r>
          </w:p>
          <w:p>
            <w:pPr>
              <w:pStyle w:val="Default"/>
              <w:rPr>
                <w:sz w:val="22"/>
                <w:szCs w:val="22"/>
              </w:rPr>
            </w:pPr>
            <w:r>
              <w:rPr>
                <w:b/>
                <w:bCs/>
                <w:sz w:val="22"/>
                <w:szCs w:val="22"/>
              </w:rPr>
              <w:t xml:space="preserve">ENTERING SUBJECT DATA </w:t>
            </w:r>
          </w:p>
          <w:p>
            <w:pPr>
              <w:pStyle w:val="Default"/>
              <w:numPr>
                <w:ilvl w:val="1"/>
                <w:numId w:val="1"/>
              </w:numPr>
              <w:spacing w:before="0" w:after="68"/>
              <w:ind w:left="360" w:hanging="360"/>
              <w:rPr>
                <w:sz w:val="22"/>
                <w:szCs w:val="22"/>
              </w:rPr>
            </w:pPr>
            <w:r>
              <w:rPr>
                <w:sz w:val="22"/>
                <w:szCs w:val="22"/>
              </w:rPr>
            </w:r>
          </w:p>
          <w:p>
            <w:pPr>
              <w:pStyle w:val="Default"/>
              <w:rPr>
                <w:sz w:val="22"/>
                <w:szCs w:val="22"/>
              </w:rPr>
            </w:pPr>
            <w:r>
              <w:rPr>
                <w:sz w:val="22"/>
                <w:szCs w:val="22"/>
              </w:rPr>
              <w:t xml:space="preserve">1. The MAIN MENU can be accessed by pressing the F1 button located at the upper right corner of the Humphrey Matrix Screen. </w:t>
            </w:r>
          </w:p>
          <w:p>
            <w:pPr>
              <w:pStyle w:val="Default"/>
              <w:ind w:left="360" w:hanging="360"/>
              <w:rPr>
                <w:sz w:val="22"/>
                <w:szCs w:val="22"/>
              </w:rPr>
            </w:pPr>
            <w:r>
              <w:rPr>
                <w:sz w:val="22"/>
                <w:szCs w:val="22"/>
              </w:rPr>
            </w:r>
          </w:p>
          <w:p>
            <w:pPr>
              <w:pStyle w:val="Default"/>
              <w:rPr>
                <w:sz w:val="22"/>
                <w:szCs w:val="22"/>
              </w:rPr>
            </w:pPr>
            <w:r>
              <w:rPr>
                <w:sz w:val="22"/>
                <w:szCs w:val="22"/>
              </w:rPr>
              <w:t xml:space="preserve">2. From the MAIN MENU of the HUMPHREY MATRIX, select N-30-F FDT Threshold or 24-2 FDT Threshold under the Threshold menu by pressing this location on the screen. </w:t>
            </w:r>
          </w:p>
          <w:p>
            <w:pPr>
              <w:pStyle w:val="Default"/>
              <w:rPr>
                <w:sz w:val="22"/>
                <w:szCs w:val="22"/>
              </w:rPr>
            </w:pPr>
            <w:r>
              <w:rPr>
                <w:sz w:val="22"/>
                <w:szCs w:val="22"/>
              </w:rPr>
            </w:r>
          </w:p>
          <w:p>
            <w:pPr>
              <w:pStyle w:val="Default"/>
              <w:rPr>
                <w:sz w:val="22"/>
                <w:szCs w:val="22"/>
              </w:rPr>
            </w:pPr>
            <w:r>
              <w:rPr>
                <w:sz w:val="22"/>
                <w:szCs w:val="22"/>
              </w:rPr>
              <w:t>3. After this selection, you will be taken to the “View Patients” screen. Select “Add New Patient” by pressing this button at the top left portion of the screen and enter in the subject ID and date of birth, other information. After this select “Add Patient” by pressing the button in the lower right portion of the screen.</w:t>
            </w:r>
          </w:p>
          <w:p>
            <w:pPr>
              <w:pStyle w:val="Default"/>
              <w:rPr>
                <w:sz w:val="22"/>
                <w:szCs w:val="22"/>
              </w:rPr>
            </w:pPr>
            <w:r>
              <w:rPr>
                <w:sz w:val="22"/>
                <w:szCs w:val="22"/>
              </w:rPr>
            </w:r>
          </w:p>
          <w:p>
            <w:pPr>
              <w:pStyle w:val="Default"/>
              <w:rPr>
                <w:sz w:val="22"/>
                <w:szCs w:val="22"/>
              </w:rPr>
            </w:pPr>
            <w:r>
              <w:rPr>
                <w:sz w:val="22"/>
                <w:szCs w:val="22"/>
              </w:rPr>
            </w:r>
          </w:p>
          <w:p>
            <w:pPr>
              <w:pStyle w:val="Default"/>
              <w:rPr>
                <w:sz w:val="22"/>
                <w:szCs w:val="22"/>
              </w:rPr>
            </w:pPr>
            <w:r>
              <w:rPr>
                <w:sz w:val="22"/>
                <w:szCs w:val="22"/>
              </w:rPr>
            </w:r>
          </w:p>
          <w:p>
            <w:pPr>
              <w:pStyle w:val="Default"/>
              <w:rPr>
                <w:sz w:val="22"/>
                <w:szCs w:val="22"/>
              </w:rPr>
            </w:pPr>
            <w:r>
              <w:rPr>
                <w:sz w:val="22"/>
                <w:szCs w:val="22"/>
              </w:rPr>
            </w:r>
          </w:p>
          <w:p>
            <w:pPr>
              <w:pStyle w:val="Default"/>
              <w:rPr>
                <w:sz w:val="22"/>
                <w:szCs w:val="22"/>
              </w:rPr>
            </w:pPr>
            <w:r>
              <w:rPr>
                <w:sz w:val="22"/>
                <w:szCs w:val="22"/>
              </w:rPr>
            </w:r>
          </w:p>
          <w:p>
            <w:pPr>
              <w:pStyle w:val="Default"/>
              <w:rPr>
                <w:sz w:val="22"/>
                <w:szCs w:val="22"/>
              </w:rPr>
            </w:pPr>
            <w:r>
              <w:rPr>
                <w:sz w:val="22"/>
                <w:szCs w:val="22"/>
              </w:rPr>
              <w:t xml:space="preserve">4. Enter the Pupil Diameter, Visual Acuity, and Rx as described in the table below. </w:t>
            </w:r>
          </w:p>
          <w:p>
            <w:pPr>
              <w:pStyle w:val="Default"/>
              <w:rPr>
                <w:rFonts w:eastAsia="Arial"/>
                <w:b/>
                <w:b/>
                <w:bCs/>
                <w:sz w:val="22"/>
                <w:szCs w:val="22"/>
              </w:rPr>
            </w:pPr>
            <w:r>
              <w:rPr>
                <w:rFonts w:eastAsia="Arial"/>
                <w:b/>
                <w:bCs/>
                <w:sz w:val="22"/>
                <w:szCs w:val="22"/>
              </w:rPr>
              <w:t xml:space="preserve"> </w:t>
            </w:r>
          </w:p>
          <w:tbl>
            <w:tblPr>
              <w:tblW w:w="6846" w:type="dxa"/>
              <w:jc w:val="left"/>
              <w:tblInd w:w="0" w:type="dxa"/>
              <w:tblLayout w:type="fixed"/>
              <w:tblCellMar>
                <w:top w:w="0" w:type="dxa"/>
                <w:left w:w="108" w:type="dxa"/>
                <w:bottom w:w="0" w:type="dxa"/>
                <w:right w:w="108" w:type="dxa"/>
              </w:tblCellMar>
            </w:tblPr>
            <w:tblGrid>
              <w:gridCol w:w="1662"/>
              <w:gridCol w:w="5184"/>
            </w:tblGrid>
            <w:tr>
              <w:trPr/>
              <w:tc>
                <w:tcPr>
                  <w:tcW w:w="1662" w:type="dxa"/>
                  <w:tcBorders>
                    <w:top w:val="single" w:sz="4" w:space="0" w:color="000000"/>
                    <w:left w:val="single" w:sz="4" w:space="0" w:color="000000"/>
                    <w:bottom w:val="single" w:sz="4" w:space="0" w:color="000000"/>
                    <w:right w:val="single" w:sz="4" w:space="0" w:color="000000"/>
                  </w:tcBorders>
                </w:tcPr>
                <w:p>
                  <w:pPr>
                    <w:pStyle w:val="Default"/>
                    <w:rPr>
                      <w:b/>
                      <w:b/>
                      <w:bCs/>
                      <w:sz w:val="22"/>
                      <w:szCs w:val="22"/>
                    </w:rPr>
                  </w:pPr>
                  <w:r>
                    <w:rPr>
                      <w:b/>
                      <w:bCs/>
                      <w:sz w:val="22"/>
                      <w:szCs w:val="22"/>
                    </w:rPr>
                    <w:t>FDT Screen:</w:t>
                  </w:r>
                </w:p>
              </w:tc>
              <w:tc>
                <w:tcPr>
                  <w:tcW w:w="5184" w:type="dxa"/>
                  <w:tcBorders>
                    <w:top w:val="single" w:sz="4" w:space="0" w:color="000000"/>
                    <w:left w:val="single" w:sz="4" w:space="0" w:color="000000"/>
                    <w:bottom w:val="single" w:sz="4" w:space="0" w:color="000000"/>
                    <w:right w:val="single" w:sz="4" w:space="0" w:color="000000"/>
                  </w:tcBorders>
                </w:tcPr>
                <w:p>
                  <w:pPr>
                    <w:pStyle w:val="Default"/>
                    <w:rPr>
                      <w:b/>
                      <w:b/>
                      <w:bCs/>
                      <w:sz w:val="22"/>
                      <w:szCs w:val="22"/>
                    </w:rPr>
                  </w:pPr>
                  <w:r>
                    <w:rPr>
                      <w:b/>
                      <w:bCs/>
                      <w:sz w:val="22"/>
                      <w:szCs w:val="22"/>
                    </w:rPr>
                    <w:t>Information Entered:</w:t>
                  </w:r>
                </w:p>
              </w:tc>
            </w:tr>
            <w:tr>
              <w:trPr/>
              <w:tc>
                <w:tcPr>
                  <w:tcW w:w="1662" w:type="dxa"/>
                  <w:tcBorders>
                    <w:top w:val="single" w:sz="4" w:space="0" w:color="000000"/>
                    <w:left w:val="single" w:sz="4" w:space="0" w:color="000000"/>
                    <w:bottom w:val="single" w:sz="4" w:space="0" w:color="000000"/>
                    <w:right w:val="single" w:sz="4" w:space="0" w:color="000000"/>
                  </w:tcBorders>
                </w:tcPr>
                <w:p>
                  <w:pPr>
                    <w:pStyle w:val="Default"/>
                    <w:rPr>
                      <w:sz w:val="22"/>
                      <w:szCs w:val="22"/>
                    </w:rPr>
                  </w:pPr>
                  <w:r>
                    <w:rPr>
                      <w:sz w:val="22"/>
                      <w:szCs w:val="22"/>
                    </w:rPr>
                    <w:t>Pupil Diameter</w:t>
                  </w:r>
                </w:p>
              </w:tc>
              <w:tc>
                <w:tcPr>
                  <w:tcW w:w="5184" w:type="dxa"/>
                  <w:tcBorders>
                    <w:top w:val="single" w:sz="4" w:space="0" w:color="000000"/>
                    <w:left w:val="single" w:sz="4" w:space="0" w:color="000000"/>
                    <w:bottom w:val="single" w:sz="4" w:space="0" w:color="000000"/>
                    <w:right w:val="single" w:sz="4" w:space="0" w:color="000000"/>
                  </w:tcBorders>
                </w:tcPr>
                <w:p>
                  <w:pPr>
                    <w:pStyle w:val="Default"/>
                    <w:rPr>
                      <w:sz w:val="22"/>
                      <w:szCs w:val="22"/>
                    </w:rPr>
                  </w:pPr>
                  <w:r>
                    <w:rPr>
                      <w:sz w:val="22"/>
                      <w:szCs w:val="22"/>
                    </w:rPr>
                    <w:t>RE: e.g., 4 mm</w:t>
                  </w:r>
                </w:p>
                <w:p>
                  <w:pPr>
                    <w:pStyle w:val="Default"/>
                    <w:rPr>
                      <w:sz w:val="22"/>
                      <w:szCs w:val="22"/>
                    </w:rPr>
                  </w:pPr>
                  <w:r>
                    <w:rPr>
                      <w:sz w:val="22"/>
                      <w:szCs w:val="22"/>
                    </w:rPr>
                    <w:t>LE:</w:t>
                  </w:r>
                </w:p>
              </w:tc>
            </w:tr>
            <w:tr>
              <w:trPr/>
              <w:tc>
                <w:tcPr>
                  <w:tcW w:w="1662" w:type="dxa"/>
                  <w:tcBorders>
                    <w:top w:val="single" w:sz="4" w:space="0" w:color="000000"/>
                    <w:left w:val="single" w:sz="4" w:space="0" w:color="000000"/>
                    <w:bottom w:val="single" w:sz="4" w:space="0" w:color="000000"/>
                    <w:right w:val="single" w:sz="4" w:space="0" w:color="000000"/>
                  </w:tcBorders>
                </w:tcPr>
                <w:p>
                  <w:pPr>
                    <w:pStyle w:val="Default"/>
                    <w:rPr>
                      <w:sz w:val="22"/>
                      <w:szCs w:val="22"/>
                    </w:rPr>
                  </w:pPr>
                  <w:r>
                    <w:rPr>
                      <w:sz w:val="22"/>
                      <w:szCs w:val="22"/>
                    </w:rPr>
                    <w:t>Visual Acuity</w:t>
                  </w:r>
                </w:p>
              </w:tc>
              <w:tc>
                <w:tcPr>
                  <w:tcW w:w="5184" w:type="dxa"/>
                  <w:tcBorders>
                    <w:top w:val="single" w:sz="4" w:space="0" w:color="000000"/>
                    <w:left w:val="single" w:sz="4" w:space="0" w:color="000000"/>
                    <w:bottom w:val="single" w:sz="4" w:space="0" w:color="000000"/>
                    <w:right w:val="single" w:sz="4" w:space="0" w:color="000000"/>
                  </w:tcBorders>
                </w:tcPr>
                <w:p>
                  <w:pPr>
                    <w:pStyle w:val="Default"/>
                    <w:rPr>
                      <w:sz w:val="22"/>
                      <w:szCs w:val="22"/>
                    </w:rPr>
                  </w:pPr>
                  <w:r>
                    <w:rPr>
                      <w:sz w:val="22"/>
                      <w:szCs w:val="22"/>
                    </w:rPr>
                    <w:t>RE: e,g,, 20/20</w:t>
                  </w:r>
                </w:p>
                <w:p>
                  <w:pPr>
                    <w:pStyle w:val="Default"/>
                    <w:rPr>
                      <w:sz w:val="22"/>
                      <w:szCs w:val="22"/>
                    </w:rPr>
                  </w:pPr>
                  <w:r>
                    <w:rPr>
                      <w:sz w:val="22"/>
                      <w:szCs w:val="22"/>
                    </w:rPr>
                    <w:t>LE:</w:t>
                  </w:r>
                </w:p>
              </w:tc>
            </w:tr>
            <w:tr>
              <w:trPr/>
              <w:tc>
                <w:tcPr>
                  <w:tcW w:w="1662" w:type="dxa"/>
                  <w:tcBorders>
                    <w:top w:val="single" w:sz="4" w:space="0" w:color="000000"/>
                    <w:left w:val="single" w:sz="4" w:space="0" w:color="000000"/>
                    <w:bottom w:val="single" w:sz="4" w:space="0" w:color="000000"/>
                    <w:right w:val="single" w:sz="4" w:space="0" w:color="000000"/>
                  </w:tcBorders>
                </w:tcPr>
                <w:p>
                  <w:pPr>
                    <w:pStyle w:val="Default"/>
                    <w:rPr>
                      <w:sz w:val="22"/>
                      <w:szCs w:val="22"/>
                    </w:rPr>
                  </w:pPr>
                  <w:r>
                    <w:rPr>
                      <w:sz w:val="22"/>
                      <w:szCs w:val="22"/>
                    </w:rPr>
                    <w:t>Rx Used</w:t>
                  </w:r>
                </w:p>
              </w:tc>
              <w:tc>
                <w:tcPr>
                  <w:tcW w:w="5184" w:type="dxa"/>
                  <w:tcBorders>
                    <w:top w:val="single" w:sz="4" w:space="0" w:color="000000"/>
                    <w:left w:val="single" w:sz="4" w:space="0" w:color="000000"/>
                    <w:bottom w:val="single" w:sz="4" w:space="0" w:color="000000"/>
                    <w:right w:val="single" w:sz="4" w:space="0" w:color="000000"/>
                  </w:tcBorders>
                </w:tcPr>
                <w:p>
                  <w:pPr>
                    <w:pStyle w:val="Default"/>
                    <w:rPr/>
                  </w:pPr>
                  <w:r>
                    <w:rPr>
                      <w:sz w:val="22"/>
                      <w:szCs w:val="22"/>
                    </w:rPr>
                    <w:t xml:space="preserve">RE: </w:t>
                  </w:r>
                  <w:r>
                    <w:rPr>
                      <w:sz w:val="22"/>
                      <w:szCs w:val="22"/>
                      <w:vertAlign w:val="superscript"/>
                    </w:rPr>
                    <w:t>1</w:t>
                  </w:r>
                  <w:r>
                    <w:rPr>
                      <w:sz w:val="22"/>
                      <w:szCs w:val="22"/>
                    </w:rPr>
                    <w:t xml:space="preserve">(+ or -) _.__ DS (+ or -) _.__DC X ___DEG </w:t>
                  </w:r>
                </w:p>
                <w:p>
                  <w:pPr>
                    <w:pStyle w:val="Default"/>
                    <w:rPr>
                      <w:sz w:val="22"/>
                      <w:szCs w:val="22"/>
                    </w:rPr>
                  </w:pPr>
                  <w:r>
                    <w:rPr>
                      <w:sz w:val="22"/>
                      <w:szCs w:val="22"/>
                    </w:rPr>
                    <w:t xml:space="preserve">LE: (+ or -) _.__ DS (+ or -) _.__DC X ___DEG </w:t>
                  </w:r>
                </w:p>
              </w:tc>
            </w:tr>
          </w:tbl>
          <w:p>
            <w:pPr>
              <w:pStyle w:val="Default"/>
              <w:rPr>
                <w:b/>
                <w:b/>
                <w:bCs/>
                <w:sz w:val="22"/>
                <w:szCs w:val="22"/>
              </w:rPr>
            </w:pPr>
            <w:r>
              <w:rPr>
                <w:sz w:val="22"/>
                <w:szCs w:val="22"/>
                <w:vertAlign w:val="superscript"/>
              </w:rPr>
              <w:t>1</w:t>
            </w:r>
            <w:r>
              <w:rPr>
                <w:sz w:val="22"/>
                <w:szCs w:val="22"/>
              </w:rPr>
              <w:t>Enter 3 digits for each, 0.00 for plano. “Rx Used” is the correction that is used for performing visual field testing.</w:t>
            </w:r>
          </w:p>
          <w:p>
            <w:pPr>
              <w:pStyle w:val="Default"/>
              <w:rPr>
                <w:b/>
                <w:b/>
                <w:bCs/>
                <w:sz w:val="22"/>
                <w:szCs w:val="22"/>
              </w:rPr>
            </w:pPr>
            <w:r>
              <w:rPr>
                <w:b/>
                <w:bCs/>
                <w:sz w:val="22"/>
                <w:szCs w:val="22"/>
              </w:rPr>
            </w:r>
          </w:p>
          <w:p>
            <w:pPr>
              <w:pStyle w:val="Default"/>
              <w:rPr>
                <w:sz w:val="22"/>
                <w:szCs w:val="22"/>
              </w:rPr>
            </w:pPr>
            <w:r>
              <w:rPr>
                <w:sz w:val="22"/>
                <w:szCs w:val="22"/>
              </w:rPr>
              <w:t xml:space="preserve">5. The Operator LCD Display will indicate if there is too much ambient light to perform a reliable test. Lower the room lighting or change the test location until suitable test conditions are achieved. Also, if the subject response button is not connected or the subject visor is in the wrong eye position, this will be indicated on the operator LCD display. </w:t>
            </w:r>
          </w:p>
          <w:p>
            <w:pPr>
              <w:pStyle w:val="Default"/>
              <w:rPr>
                <w:sz w:val="22"/>
                <w:szCs w:val="22"/>
              </w:rPr>
            </w:pPr>
            <w:r>
              <w:rPr>
                <w:sz w:val="22"/>
                <w:szCs w:val="22"/>
              </w:rPr>
            </w:r>
          </w:p>
          <w:p>
            <w:pPr>
              <w:pStyle w:val="Default"/>
              <w:rPr>
                <w:b/>
                <w:b/>
                <w:bCs/>
                <w:sz w:val="22"/>
                <w:szCs w:val="22"/>
              </w:rPr>
            </w:pPr>
            <w:r>
              <w:rPr>
                <w:b/>
                <w:bCs/>
                <w:sz w:val="22"/>
                <w:szCs w:val="22"/>
              </w:rPr>
            </w:r>
          </w:p>
          <w:p>
            <w:pPr>
              <w:pStyle w:val="Default"/>
              <w:rPr>
                <w:sz w:val="22"/>
                <w:szCs w:val="22"/>
              </w:rPr>
            </w:pPr>
            <w:r>
              <w:rPr>
                <w:b/>
                <w:bCs/>
                <w:sz w:val="22"/>
                <w:szCs w:val="22"/>
              </w:rPr>
              <w:t xml:space="preserve">PREPARING THE SUBJECT </w:t>
            </w:r>
          </w:p>
          <w:p>
            <w:pPr>
              <w:pStyle w:val="Default"/>
              <w:rPr>
                <w:sz w:val="22"/>
                <w:szCs w:val="22"/>
              </w:rPr>
            </w:pPr>
            <w:r>
              <w:rPr>
                <w:sz w:val="22"/>
                <w:szCs w:val="22"/>
              </w:rPr>
            </w:r>
          </w:p>
          <w:p>
            <w:pPr>
              <w:pStyle w:val="Default"/>
              <w:rPr>
                <w:sz w:val="22"/>
                <w:szCs w:val="22"/>
              </w:rPr>
            </w:pPr>
            <w:r>
              <w:rPr>
                <w:sz w:val="22"/>
                <w:szCs w:val="22"/>
              </w:rPr>
              <w:t xml:space="preserve">For the eye being tested, if the brow is heavy or the upper lid is drooping, tape it accordingly. When in doubt, tape the upper lid. Slide the subject visor to the study eye test position and ask the Subject to place their forehead on the forehead rest and look into the subject eyepiece at the video screen. Adjust the height of the chair or table (or both) to obtain a comfortable position for the Subject. Confirm that the Subject can see the entire lit video screen, including all four corners in the subject eyepiece, establish that they can see the black dot in the middle of the screen and that their eye is centered on the video screen. Make sure that the Subject is properly aligned with the instrument by asking him/her to look to each of the four corners of the display to make sure that the display is not obscured. </w:t>
            </w:r>
          </w:p>
          <w:p>
            <w:pPr>
              <w:pStyle w:val="Default"/>
              <w:rPr>
                <w:sz w:val="22"/>
                <w:szCs w:val="22"/>
              </w:rPr>
            </w:pPr>
            <w:r>
              <w:rPr>
                <w:sz w:val="22"/>
                <w:szCs w:val="22"/>
              </w:rPr>
            </w:r>
          </w:p>
          <w:p>
            <w:pPr>
              <w:pStyle w:val="Default"/>
              <w:rPr>
                <w:sz w:val="22"/>
                <w:szCs w:val="22"/>
              </w:rPr>
            </w:pPr>
            <w:r>
              <w:rPr>
                <w:sz w:val="22"/>
                <w:szCs w:val="22"/>
              </w:rPr>
              <w:t xml:space="preserve">Select the “Freeze” button to freeze the live image of the eye to measure the Subject’s pupil diameter. Measure the Subject’s pupils to the nearest 0.5 mm. If they are less than 3 mm in diameter, dilate them with 2.5% phenylephrine drops, unless contraindicated. If this is ineffective, dilate with a cycloplegic agent and wait a full 20 minutes before beginning the test. If a Subject’s pupil is &lt; 3 mm with cycloplegia, he/she is ineligible for visual field testing and cannot be enrolled in the study. After measuring the Subject’s pupil diameter, press the “Unfreeze” button to return to a live video of the Subject’s eye. </w:t>
            </w:r>
          </w:p>
          <w:p>
            <w:pPr>
              <w:pStyle w:val="Default"/>
              <w:numPr>
                <w:ilvl w:val="0"/>
                <w:numId w:val="2"/>
              </w:numPr>
              <w:rPr>
                <w:sz w:val="22"/>
                <w:szCs w:val="22"/>
              </w:rPr>
            </w:pPr>
            <w:r>
              <w:rPr>
                <w:sz w:val="22"/>
                <w:szCs w:val="22"/>
              </w:rPr>
            </w:r>
          </w:p>
          <w:p>
            <w:pPr>
              <w:pStyle w:val="Default"/>
              <w:rPr>
                <w:sz w:val="22"/>
                <w:szCs w:val="22"/>
              </w:rPr>
            </w:pPr>
            <w:r>
              <w:rPr>
                <w:b/>
                <w:bCs/>
                <w:sz w:val="22"/>
                <w:szCs w:val="22"/>
              </w:rPr>
              <w:t xml:space="preserve">FDT N-30-F and 24-2 SUBJECT INSTRUCTIONS </w:t>
            </w:r>
          </w:p>
          <w:p>
            <w:pPr>
              <w:pStyle w:val="Default"/>
              <w:rPr>
                <w:sz w:val="22"/>
                <w:szCs w:val="22"/>
              </w:rPr>
            </w:pPr>
            <w:r>
              <w:rPr>
                <w:sz w:val="22"/>
                <w:szCs w:val="22"/>
              </w:rPr>
            </w:r>
          </w:p>
          <w:p>
            <w:pPr>
              <w:pStyle w:val="Default"/>
              <w:rPr>
                <w:sz w:val="22"/>
                <w:szCs w:val="22"/>
              </w:rPr>
            </w:pPr>
            <w:r>
              <w:rPr>
                <w:sz w:val="22"/>
                <w:szCs w:val="22"/>
              </w:rPr>
              <w:t xml:space="preserve">Read the Subject the following instructions: </w:t>
            </w:r>
          </w:p>
          <w:p>
            <w:pPr>
              <w:pStyle w:val="Default"/>
              <w:ind w:left="720" w:right="360" w:hanging="0"/>
              <w:rPr>
                <w:sz w:val="22"/>
                <w:szCs w:val="22"/>
              </w:rPr>
            </w:pPr>
            <w:r>
              <w:rPr>
                <w:b/>
                <w:bCs/>
                <w:i/>
                <w:iCs/>
                <w:sz w:val="22"/>
                <w:szCs w:val="22"/>
              </w:rPr>
              <w:t>“</w:t>
            </w:r>
            <w:r>
              <w:rPr>
                <w:b/>
                <w:bCs/>
                <w:i/>
                <w:iCs/>
                <w:sz w:val="22"/>
                <w:szCs w:val="22"/>
              </w:rPr>
              <w:t xml:space="preserve">A demonstration of the test is running now. Can you see the black square (dot) in the center and the entire lit video screen? You need to stare at the black dot in the center of the screen during the entire test.” </w:t>
            </w:r>
          </w:p>
          <w:p>
            <w:pPr>
              <w:pStyle w:val="Default"/>
              <w:ind w:left="720" w:right="360" w:hanging="0"/>
              <w:rPr>
                <w:b/>
                <w:b/>
                <w:bCs/>
                <w:i/>
                <w:i/>
                <w:iCs/>
                <w:sz w:val="22"/>
                <w:szCs w:val="22"/>
              </w:rPr>
            </w:pPr>
            <w:r>
              <w:rPr>
                <w:b/>
                <w:bCs/>
                <w:i/>
                <w:iCs/>
                <w:sz w:val="22"/>
                <w:szCs w:val="22"/>
              </w:rPr>
            </w:r>
          </w:p>
          <w:p>
            <w:pPr>
              <w:pStyle w:val="Default"/>
              <w:ind w:left="720" w:right="360" w:hanging="0"/>
              <w:rPr>
                <w:sz w:val="22"/>
                <w:szCs w:val="22"/>
              </w:rPr>
            </w:pPr>
            <w:r>
              <w:rPr>
                <w:b/>
                <w:bCs/>
                <w:i/>
                <w:iCs/>
                <w:sz w:val="22"/>
                <w:szCs w:val="22"/>
              </w:rPr>
              <w:t>“</w:t>
            </w:r>
            <w:r>
              <w:rPr>
                <w:b/>
                <w:bCs/>
                <w:i/>
                <w:iCs/>
                <w:sz w:val="22"/>
                <w:szCs w:val="22"/>
              </w:rPr>
              <w:t xml:space="preserve">From time to time, you will see patterns of flickering black and white vertical bars that will briefly appear in different areas of the screen. The pattern will sometimes be very </w:t>
            </w:r>
            <w:r>
              <w:rPr>
                <w:b/>
                <w:bCs/>
                <w:i/>
                <w:iCs/>
                <w:color w:val="000000"/>
                <w:sz w:val="22"/>
                <w:szCs w:val="22"/>
              </w:rPr>
              <w:t xml:space="preserve">faint and at other times be very distinct. You are not expected to see the bar patterns at all times. Each time you see something flickering, press the response button once. Can you see these patterns in the demonstration running now? You may practice now by pressing the button to respond to the patterns.” </w:t>
            </w:r>
          </w:p>
          <w:p>
            <w:pPr>
              <w:pStyle w:val="Default"/>
              <w:ind w:left="720" w:right="360" w:hanging="0"/>
              <w:rPr>
                <w:b/>
                <w:b/>
                <w:bCs/>
                <w:i/>
                <w:i/>
                <w:iCs/>
                <w:color w:val="000000"/>
                <w:sz w:val="22"/>
                <w:szCs w:val="22"/>
              </w:rPr>
            </w:pPr>
            <w:r>
              <w:rPr>
                <w:b/>
                <w:bCs/>
                <w:i/>
                <w:iCs/>
                <w:color w:val="000000"/>
                <w:sz w:val="22"/>
                <w:szCs w:val="22"/>
              </w:rPr>
            </w:r>
          </w:p>
          <w:p>
            <w:pPr>
              <w:pStyle w:val="Default"/>
              <w:ind w:left="720" w:right="360" w:hanging="0"/>
              <w:rPr>
                <w:color w:val="000000"/>
                <w:sz w:val="22"/>
                <w:szCs w:val="22"/>
              </w:rPr>
            </w:pPr>
            <w:r>
              <w:rPr>
                <w:b/>
                <w:bCs/>
                <w:i/>
                <w:iCs/>
                <w:color w:val="000000"/>
                <w:sz w:val="22"/>
                <w:szCs w:val="22"/>
              </w:rPr>
              <w:t>“</w:t>
            </w:r>
            <w:r>
              <w:rPr>
                <w:b/>
                <w:bCs/>
                <w:i/>
                <w:iCs/>
                <w:color w:val="000000"/>
                <w:sz w:val="22"/>
                <w:szCs w:val="22"/>
              </w:rPr>
              <w:t xml:space="preserve">It is OK to blink, a good time to blink is when you press the response button. If you need to rest or ask questions during the test, you can pause the test at any time by pressing and holding down the response button. Do you have any questions? Do you understand how to take the test?” </w:t>
            </w:r>
          </w:p>
          <w:p>
            <w:pPr>
              <w:pStyle w:val="Default"/>
              <w:ind w:left="720" w:right="360" w:hanging="0"/>
              <w:rPr>
                <w:b/>
                <w:b/>
                <w:bCs/>
                <w:i/>
                <w:i/>
                <w:iCs/>
                <w:color w:val="000000"/>
                <w:sz w:val="22"/>
                <w:szCs w:val="22"/>
              </w:rPr>
            </w:pPr>
            <w:r>
              <w:rPr>
                <w:b/>
                <w:bCs/>
                <w:i/>
                <w:iCs/>
                <w:color w:val="000000"/>
                <w:sz w:val="22"/>
                <w:szCs w:val="22"/>
              </w:rPr>
            </w:r>
          </w:p>
          <w:p>
            <w:pPr>
              <w:pStyle w:val="Default"/>
              <w:ind w:left="720" w:right="360" w:hanging="0"/>
              <w:rPr>
                <w:color w:val="000000"/>
                <w:sz w:val="22"/>
                <w:szCs w:val="22"/>
              </w:rPr>
            </w:pPr>
            <w:r>
              <w:rPr>
                <w:b/>
                <w:bCs/>
                <w:i/>
                <w:iCs/>
                <w:color w:val="000000"/>
                <w:sz w:val="22"/>
                <w:szCs w:val="22"/>
              </w:rPr>
              <w:t>“</w:t>
            </w:r>
            <w:r>
              <w:rPr>
                <w:b/>
                <w:bCs/>
                <w:i/>
                <w:iCs/>
                <w:color w:val="000000"/>
                <w:sz w:val="22"/>
                <w:szCs w:val="22"/>
              </w:rPr>
              <w:t xml:space="preserve">I will now start the test. There will be a few brief flashes and then the test will begin. Press the response button once each time you see something flickering. Please remember to stare at the black square (dot) in the center of the screen during the entire test.” </w:t>
            </w:r>
          </w:p>
          <w:p>
            <w:pPr>
              <w:pStyle w:val="Normal"/>
              <w:rPr>
                <w:rFonts w:ascii="Arial" w:hAnsi="Arial" w:cs="Arial"/>
                <w:color w:val="000000"/>
                <w:sz w:val="22"/>
                <w:szCs w:val="22"/>
              </w:rPr>
            </w:pPr>
            <w:r>
              <w:rPr>
                <w:rFonts w:cs="Arial" w:ascii="Arial" w:hAnsi="Arial"/>
                <w:color w:val="000000"/>
                <w:sz w:val="22"/>
                <w:szCs w:val="22"/>
              </w:rPr>
            </w:r>
          </w:p>
          <w:p>
            <w:pPr>
              <w:pStyle w:val="Normal"/>
              <w:rPr>
                <w:rFonts w:ascii="Arial" w:hAnsi="Arial" w:cs="Arial"/>
                <w:sz w:val="22"/>
                <w:szCs w:val="22"/>
              </w:rPr>
            </w:pPr>
            <w:r>
              <w:rPr>
                <w:rFonts w:cs="Arial" w:ascii="Arial" w:hAnsi="Arial"/>
                <w:sz w:val="22"/>
                <w:szCs w:val="22"/>
              </w:rPr>
              <w:t>During the test, you will see the Subject’s pupil in the black box below. Keep an eye on the Subject’s pupil to make sure that they are maintaining fixation on the black dot in the center of the screen and that the pupil is inside the circle in the black box. Notes concerning the test can be added to the “Notes” box.</w:t>
            </w:r>
          </w:p>
          <w:p>
            <w:pPr>
              <w:pStyle w:val="Default"/>
              <w:rPr>
                <w:rFonts w:ascii="Arial" w:hAnsi="Arial" w:cs="Arial"/>
                <w:sz w:val="22"/>
                <w:szCs w:val="22"/>
              </w:rPr>
            </w:pPr>
            <w:r>
              <w:rPr>
                <w:rFonts w:cs="Arial"/>
                <w:sz w:val="22"/>
                <w:szCs w:val="22"/>
              </w:rPr>
            </w:r>
          </w:p>
          <w:p>
            <w:pPr>
              <w:pStyle w:val="Default"/>
              <w:rPr>
                <w:sz w:val="22"/>
                <w:szCs w:val="22"/>
              </w:rPr>
            </w:pPr>
            <w:r>
              <w:rPr>
                <w:b/>
                <w:bCs/>
                <w:sz w:val="22"/>
                <w:szCs w:val="22"/>
              </w:rPr>
              <w:t xml:space="preserve">SAVING &amp; PRINTING THE FDT RESULTS </w:t>
            </w:r>
          </w:p>
          <w:p>
            <w:pPr>
              <w:pStyle w:val="Normal"/>
              <w:spacing w:before="0" w:after="0"/>
              <w:contextualSpacing/>
              <w:rPr>
                <w:rFonts w:ascii="Arial" w:hAnsi="Arial" w:cs="Arial"/>
                <w:sz w:val="22"/>
                <w:szCs w:val="22"/>
              </w:rPr>
            </w:pPr>
            <w:r>
              <w:rPr>
                <w:rFonts w:cs="Arial" w:ascii="Arial" w:hAnsi="Arial"/>
                <w:sz w:val="22"/>
                <w:szCs w:val="22"/>
              </w:rPr>
              <w:t>Save a CSV and PDF version of the Subject’s data.  Print out the test results at the completion of each test.</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Participant</w:t>
            </w:r>
          </w:p>
        </w:tc>
        <w:tc>
          <w:tcPr>
            <w:tcW w:w="7056"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Style w:val="DefaultChar"/>
                <w:sz w:val="22"/>
                <w:szCs w:val="22"/>
                <w:highlight w:val="yellow"/>
              </w:rPr>
            </w:pPr>
            <w:r>
              <w:rPr>
                <w:rFonts w:cs="Arial" w:ascii="Arial" w:hAnsi="Arial"/>
                <w:sz w:val="22"/>
                <w:szCs w:val="22"/>
              </w:rPr>
              <w:t>Adults ≥ 18 years</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pPr>
            <w:r>
              <w:rPr>
                <w:rFonts w:cs="Arial" w:ascii="Arial" w:hAnsi="Arial"/>
                <w:b/>
                <w:sz w:val="22"/>
                <w:szCs w:val="22"/>
              </w:rPr>
              <w:t>Source</w:t>
            </w:r>
          </w:p>
        </w:tc>
        <w:tc>
          <w:tcPr>
            <w:tcW w:w="7056" w:type="dxa"/>
            <w:tcBorders>
              <w:top w:val="single" w:sz="4" w:space="0" w:color="000000"/>
              <w:left w:val="single" w:sz="4" w:space="0" w:color="000000"/>
              <w:bottom w:val="single" w:sz="4" w:space="0" w:color="000000"/>
              <w:right w:val="single" w:sz="4" w:space="0" w:color="000000"/>
            </w:tcBorders>
          </w:tcPr>
          <w:p>
            <w:pPr>
              <w:pStyle w:val="Normal"/>
              <w:rPr/>
            </w:pPr>
            <w:r>
              <w:rPr>
                <w:rFonts w:cs="Arial" w:ascii="Arial" w:hAnsi="Arial"/>
                <w:sz w:val="22"/>
                <w:szCs w:val="22"/>
              </w:rPr>
              <w:t>Visual Field Reading Center, Department of Ophthalmology &amp; Visual Science, University of Iowa Hospitals &amp; Clinics</w:t>
            </w:r>
          </w:p>
          <w:p>
            <w:pPr>
              <w:pStyle w:val="Normal"/>
              <w:spacing w:before="0" w:after="0"/>
              <w:contextualSpacing/>
              <w:rPr>
                <w:rFonts w:ascii="Arial" w:hAnsi="Arial" w:cs="Arial"/>
                <w:sz w:val="22"/>
                <w:szCs w:val="22"/>
                <w:highlight w:val="yellow"/>
              </w:rPr>
            </w:pPr>
            <w:r>
              <w:rPr>
                <w:rFonts w:cs="Arial" w:ascii="Arial" w:hAnsi="Arial"/>
                <w:sz w:val="22"/>
                <w:szCs w:val="22"/>
              </w:rPr>
              <w:t>Standard Automated Perimetry (SAP), Humphrey Matrix &amp; Frequency Doubling Technology (FTD) Visual Field Guidelines, Version date 9/9/09.</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Language of Source</w:t>
            </w:r>
          </w:p>
        </w:tc>
        <w:tc>
          <w:tcPr>
            <w:tcW w:w="7056"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sz w:val="22"/>
                <w:szCs w:val="22"/>
              </w:rPr>
            </w:pPr>
            <w:r>
              <w:rPr>
                <w:rFonts w:cs="Arial" w:ascii="Arial" w:hAnsi="Arial"/>
                <w:sz w:val="22"/>
                <w:szCs w:val="22"/>
              </w:rPr>
              <w:t>English</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Personnel and Training Required</w:t>
            </w:r>
          </w:p>
        </w:tc>
        <w:tc>
          <w:tcPr>
            <w:tcW w:w="7056"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Style w:val="DefaultChar"/>
                <w:sz w:val="22"/>
                <w:szCs w:val="22"/>
              </w:rPr>
            </w:pPr>
            <w:r>
              <w:rPr>
                <w:rFonts w:cs="Arial" w:ascii="Arial" w:hAnsi="Arial"/>
                <w:sz w:val="22"/>
                <w:szCs w:val="22"/>
              </w:rPr>
              <w:t>Trained ophthalmic technician or ophthalmologist</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Equipment Needs</w:t>
            </w:r>
          </w:p>
        </w:tc>
        <w:tc>
          <w:tcPr>
            <w:tcW w:w="7056" w:type="dxa"/>
            <w:tcBorders>
              <w:top w:val="single" w:sz="4" w:space="0" w:color="000000"/>
              <w:left w:val="single" w:sz="4" w:space="0" w:color="000000"/>
              <w:bottom w:val="single" w:sz="4" w:space="0" w:color="000000"/>
              <w:right w:val="single" w:sz="4" w:space="0" w:color="000000"/>
            </w:tcBorders>
          </w:tcPr>
          <w:p>
            <w:pPr>
              <w:pStyle w:val="Normal"/>
              <w:autoSpaceDE w:val="false"/>
              <w:rPr>
                <w:rFonts w:ascii="Arial" w:hAnsi="Arial" w:cs="Arial"/>
                <w:color w:val="231F20"/>
                <w:sz w:val="22"/>
                <w:szCs w:val="22"/>
              </w:rPr>
            </w:pPr>
            <w:r>
              <w:rPr>
                <w:rFonts w:cs="Arial" w:ascii="Arial" w:hAnsi="Arial"/>
                <w:sz w:val="22"/>
                <w:szCs w:val="22"/>
              </w:rPr>
              <w:t xml:space="preserve">Humphrey Matrix Frequency Doubling Technology (FDT) visual field instrument. </w:t>
            </w:r>
            <w:r>
              <w:rPr>
                <w:rFonts w:cs="Arial" w:ascii="Arial" w:hAnsi="Arial"/>
                <w:color w:val="231F20"/>
                <w:sz w:val="22"/>
                <w:szCs w:val="22"/>
              </w:rPr>
              <w:t>(Carl Zeiss Meditec, Inc., Dublin, CA)</w:t>
            </w:r>
          </w:p>
          <w:p>
            <w:pPr>
              <w:pStyle w:val="Normal"/>
              <w:autoSpaceDE w:val="false"/>
              <w:rPr>
                <w:rFonts w:ascii="Arial" w:hAnsi="Arial" w:cs="Arial"/>
                <w:color w:val="231F20"/>
                <w:sz w:val="22"/>
                <w:szCs w:val="22"/>
              </w:rPr>
            </w:pPr>
            <w:r>
              <w:rPr>
                <w:rFonts w:cs="Arial" w:ascii="Arial" w:hAnsi="Arial"/>
                <w:color w:val="231F20"/>
                <w:sz w:val="22"/>
                <w:szCs w:val="22"/>
              </w:rPr>
            </w:r>
          </w:p>
          <w:p>
            <w:pPr>
              <w:pStyle w:val="Normal"/>
              <w:spacing w:before="0" w:after="0"/>
              <w:contextualSpacing/>
              <w:rPr>
                <w:rStyle w:val="DefaultChar"/>
                <w:sz w:val="22"/>
                <w:szCs w:val="22"/>
              </w:rPr>
            </w:pPr>
            <w:r>
              <w:rPr>
                <w:rFonts w:cs="Arial" w:ascii="Arial" w:hAnsi="Arial"/>
                <w:color w:val="000000"/>
                <w:sz w:val="22"/>
                <w:szCs w:val="22"/>
              </w:rPr>
              <w:t xml:space="preserve">Note: This protocol for visual field uses the </w:t>
            </w:r>
            <w:r>
              <w:rPr>
                <w:rFonts w:cs="Arial" w:ascii="Arial" w:hAnsi="Arial"/>
                <w:sz w:val="22"/>
                <w:szCs w:val="22"/>
              </w:rPr>
              <w:t>Humphrey Matrix Frequency Doubling Technology (FDT) visual field instrument.</w:t>
            </w:r>
            <w:r>
              <w:rPr>
                <w:rFonts w:cs="Arial" w:ascii="Arial" w:hAnsi="Arial"/>
                <w:color w:val="000000"/>
                <w:sz w:val="22"/>
                <w:szCs w:val="22"/>
              </w:rPr>
              <w:t xml:space="preserve"> If other instruments are used, the reproducibility of the measurements should be comparable to those acquired with this protocol. In addition, when other instruments are used to collect these measurements, the manufacturer and model of equipment should be recorded. These other devices may require some different steps than are described in this protocol. Investigators should follow the equipment manufacturer’s instructions to ensure quality control.</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Protocol Type</w:t>
            </w:r>
          </w:p>
        </w:tc>
        <w:tc>
          <w:tcPr>
            <w:tcW w:w="7056"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sz w:val="22"/>
                <w:szCs w:val="22"/>
              </w:rPr>
            </w:pPr>
            <w:r>
              <w:rPr>
                <w:rFonts w:cs="Arial" w:ascii="Arial" w:hAnsi="Arial"/>
                <w:sz w:val="22"/>
                <w:szCs w:val="22"/>
              </w:rPr>
              <w:t>Physical measurement</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General References</w:t>
            </w:r>
          </w:p>
        </w:tc>
        <w:tc>
          <w:tcPr>
            <w:tcW w:w="7056"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sz w:val="22"/>
                <w:szCs w:val="22"/>
              </w:rPr>
            </w:pPr>
            <w:r>
              <w:rPr>
                <w:rFonts w:cs="Arial" w:ascii="Arial" w:hAnsi="Arial"/>
                <w:sz w:val="22"/>
                <w:szCs w:val="22"/>
              </w:rPr>
              <w:t>None</w:t>
            </w:r>
          </w:p>
        </w:tc>
      </w:tr>
    </w:tbl>
    <w:p>
      <w:pPr>
        <w:pStyle w:val="Normal"/>
        <w:spacing w:before="0" w:after="0"/>
        <w:contextualSpacing/>
        <w:rPr/>
      </w:pPr>
      <w:r>
        <w:rPr/>
      </w:r>
    </w:p>
    <w:sectPr>
      <w:headerReference w:type="default" r:id="rId2"/>
      <w:footerReference w:type="default" r:id="rId3"/>
      <w:type w:val="nextPage"/>
      <w:pgSz w:w="12240" w:h="15840"/>
      <w:pgMar w:left="1296" w:right="1296" w:gutter="0" w:header="720" w:top="776" w:footer="720" w:bottom="1152"/>
      <w:pgNumType w:fmt="decimal"/>
      <w:formProt w:val="false"/>
      <w:textDirection w:val="lrTb"/>
      <w:docGrid w:type="default" w:linePitch="326"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ourier New">
    <w:charset w:val="00"/>
    <w:family w:val="modern"/>
    <w:pitch w:val="default"/>
  </w:font>
  <w:font w:name="Wingdings">
    <w:charset w:val="02"/>
    <w:family w:val="auto"/>
    <w:pitch w:val="variable"/>
  </w:font>
  <w:font w:name="Liberation Sans">
    <w:altName w:val="Arial"/>
    <w:charset w:val="01"/>
    <w:family w:val="swiss"/>
    <w:pitch w:val="variable"/>
  </w:font>
  <w:font w:name="Tahoma">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rFonts w:ascii="Arial" w:hAnsi="Arial" w:cs="Arial"/>
        <w:b/>
        <w:b/>
        <w:sz w:val="20"/>
        <w:szCs w:val="20"/>
      </w:rPr>
    </w:pPr>
    <w:r>
      <w:rPr>
        <w:rFonts w:cs="Arial" w:ascii="Arial" w:hAnsi="Arial"/>
        <w:b/>
        <w:sz w:val="20"/>
        <w:szCs w:val="20"/>
      </w:rPr>
      <w:t>PhenX Toolkit Supplemental Information</w:t>
    </w:r>
  </w:p>
  <w:p>
    <w:pPr>
      <w:pStyle w:val="Normal"/>
      <w:jc w:val="center"/>
      <w:rPr>
        <w:rFonts w:ascii="Arial" w:hAnsi="Arial" w:cs="Arial"/>
        <w:b/>
        <w:b/>
        <w:sz w:val="20"/>
        <w:szCs w:val="20"/>
      </w:rPr>
    </w:pPr>
    <w:r>
      <w:rPr>
        <w:rFonts w:cs="Arial" w:ascii="Arial" w:hAnsi="Arial"/>
        <w:b/>
        <w:sz w:val="20"/>
        <w:szCs w:val="20"/>
      </w:rPr>
      <w:t>Visual Field: Field Protocol</w:t>
    </w:r>
  </w:p>
  <w:p>
    <w:pPr>
      <w:pStyle w:val="Footer"/>
      <w:jc w:val="right"/>
      <w:rPr>
        <w:rFonts w:ascii="Arial" w:hAnsi="Arial" w:cs="Arial"/>
        <w:b/>
        <w:b/>
        <w:sz w:val="18"/>
        <w:szCs w:val="18"/>
      </w:rPr>
    </w:pPr>
    <w:r>
      <w:rPr>
        <w:rFonts w:cs="Arial" w:ascii="Arial" w:hAnsi="Arial"/>
        <w:b/>
        <w:sz w:val="18"/>
        <w:szCs w:val="18"/>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rFonts w:ascii="Arial" w:hAnsi="Arial" w:cs="Arial"/>
        <w:b/>
        <w:b/>
        <w:sz w:val="20"/>
        <w:szCs w:val="20"/>
      </w:rPr>
    </w:pPr>
    <w:r>
      <w:rPr>
        <w:rFonts w:cs="Arial" w:ascii="Arial" w:hAnsi="Arial"/>
        <w:b/>
        <w:sz w:val="20"/>
        <w:szCs w:val="20"/>
      </w:rPr>
      <w:t>PhenX Toolkit Supplemental Information</w:t>
      <w:tab/>
      <w:tab/>
      <w:tab/>
      <w:tab/>
    </w:r>
  </w:p>
  <w:p>
    <w:pPr>
      <w:pStyle w:val="Normal"/>
      <w:rPr>
        <w:rFonts w:ascii="Arial" w:hAnsi="Arial" w:cs="Arial"/>
        <w:b/>
        <w:b/>
        <w:sz w:val="20"/>
        <w:szCs w:val="20"/>
      </w:rPr>
    </w:pPr>
    <w:r>
      <w:rPr>
        <w:rFonts w:cs="Arial" w:ascii="Arial" w:hAnsi="Arial"/>
        <w:b/>
        <w:sz w:val="20"/>
        <w:szCs w:val="20"/>
      </w:rPr>
      <w:t xml:space="preserve">Domain: Ocular </w:t>
    </w:r>
  </w:p>
  <w:p>
    <w:pPr>
      <w:pStyle w:val="Normal"/>
      <w:rPr>
        <w:rFonts w:ascii="Arial" w:hAnsi="Arial" w:cs="Arial"/>
        <w:b/>
        <w:b/>
        <w:sz w:val="20"/>
        <w:szCs w:val="20"/>
      </w:rPr>
    </w:pPr>
    <w:r>
      <w:rPr>
        <w:rFonts w:cs="Arial" w:ascii="Arial" w:hAnsi="Arial"/>
        <w:b/>
        <w:sz w:val="20"/>
        <w:szCs w:val="20"/>
      </w:rPr>
      <w:t xml:space="preserve">Release Date: February 26, 2010 </w:t>
    </w:r>
  </w:p>
  <w:p>
    <w:pPr>
      <w:pStyle w:val="Normal"/>
      <w:rPr/>
    </w:pPr>
    <w:r>
      <w:rPr>
        <w:rFonts w:cs="Arial" w:ascii="Arial" w:hAnsi="Arial"/>
        <w:b/>
        <w:sz w:val="20"/>
        <w:szCs w:val="20"/>
      </w:rPr>
      <w:t>Visual Field: Field Protocol</w:t>
      <w:tab/>
      <w:tab/>
      <w:tab/>
      <w:tab/>
      <w:tab/>
    </w:r>
  </w:p>
  <w:p>
    <w:pPr>
      <w:pStyle w:val="Header"/>
      <w:rPr>
        <w:rFonts w:ascii="Arial" w:hAnsi="Arial" w:cs="Arial"/>
        <w:b/>
        <w:b/>
        <w:sz w:val="20"/>
        <w:szCs w:val="20"/>
      </w:rPr>
    </w:pPr>
    <w:r>
      <w:rPr>
        <w:rFonts w:cs="Arial" w:ascii="Arial" w:hAnsi="Arial"/>
        <w:b/>
        <w:sz w:val="20"/>
        <w:szCs w:val="20"/>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japaneseLegal"/>
      <w:lvlText w:val=""/>
      <w:lvlJc w:val="left"/>
      <w:pPr>
        <w:tabs>
          <w:tab w:val="num" w:pos="0"/>
        </w:tabs>
        <w:ind w:left="0" w:hanging="0"/>
      </w:pPr>
    </w:lvl>
    <w:lvl w:ilvl="1">
      <w:start w:val="0"/>
      <w:numFmt w:val="decimal"/>
      <w:lvlText w:val=""/>
      <w:lvlJc w:val="left"/>
      <w:pPr>
        <w:tabs>
          <w:tab w:val="num" w:pos="0"/>
        </w:tabs>
        <w:ind w:left="0" w:hanging="0"/>
      </w:pPr>
    </w:lvl>
    <w:lvl w:ilvl="2">
      <w:start w:val="0"/>
      <w:numFmt w:val="decimal"/>
      <w:lvlText w:val=""/>
      <w:lvlJc w:val="left"/>
      <w:pPr>
        <w:tabs>
          <w:tab w:val="num" w:pos="0"/>
        </w:tabs>
        <w:ind w:left="0" w:hanging="0"/>
      </w:pPr>
    </w:lvl>
    <w:lvl w:ilvl="3">
      <w:start w:val="0"/>
      <w:numFmt w:val="decimal"/>
      <w:lvlText w:val=""/>
      <w:lvlJc w:val="left"/>
      <w:pPr>
        <w:tabs>
          <w:tab w:val="num" w:pos="0"/>
        </w:tabs>
        <w:ind w:left="0" w:hanging="0"/>
      </w:pPr>
    </w:lvl>
    <w:lvl w:ilvl="4">
      <w:start w:val="0"/>
      <w:numFmt w:val="decimal"/>
      <w:lvlText w:val=""/>
      <w:lvlJc w:val="left"/>
      <w:pPr>
        <w:tabs>
          <w:tab w:val="num" w:pos="0"/>
        </w:tabs>
        <w:ind w:left="0" w:hanging="0"/>
      </w:pPr>
    </w:lvl>
    <w:lvl w:ilvl="5">
      <w:start w:val="0"/>
      <w:numFmt w:val="decimal"/>
      <w:lvlText w:val=""/>
      <w:lvlJc w:val="left"/>
      <w:pPr>
        <w:tabs>
          <w:tab w:val="num" w:pos="0"/>
        </w:tabs>
        <w:ind w:left="0" w:hanging="0"/>
      </w:pPr>
    </w:lvl>
    <w:lvl w:ilvl="6">
      <w:start w:val="0"/>
      <w:numFmt w:val="decimal"/>
      <w:lvlText w:val=""/>
      <w:lvlJc w:val="left"/>
      <w:pPr>
        <w:tabs>
          <w:tab w:val="num" w:pos="0"/>
        </w:tabs>
        <w:ind w:left="0" w:hanging="0"/>
      </w:pPr>
    </w:lvl>
    <w:lvl w:ilvl="7">
      <w:start w:val="0"/>
      <w:numFmt w:val="decimal"/>
      <w:lvlText w:val=""/>
      <w:lvlJc w:val="left"/>
      <w:pPr>
        <w:tabs>
          <w:tab w:val="num" w:pos="0"/>
        </w:tabs>
        <w:ind w:left="0" w:hanging="0"/>
      </w:pPr>
    </w:lvl>
    <w:lvl w:ilvl="8">
      <w:start w:val="0"/>
      <w:numFmt w:val="decimal"/>
      <w:lvlText w:val=""/>
      <w:lvlJc w:val="left"/>
      <w:pPr>
        <w:tabs>
          <w:tab w:val="num" w:pos="0"/>
        </w:tabs>
        <w:ind w:left="0" w:hanging="0"/>
      </w:pPr>
    </w:lvl>
  </w:abstractNum>
  <w:abstractNum w:abstractNumId="2">
    <w:lvl w:ilvl="0">
      <w:start w:val="1"/>
      <w:numFmt w:val="decimal"/>
      <w:lvlText w:val=""/>
      <w:lvlJc w:val="left"/>
      <w:pPr>
        <w:tabs>
          <w:tab w:val="num" w:pos="0"/>
        </w:tabs>
        <w:ind w:left="0" w:hanging="0"/>
      </w:p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Noto Sans Devanagari"/>
        <w:sz w:val="24"/>
        <w:szCs w:val="24"/>
        <w:lang w:val="en-US"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3z0">
    <w:name w:val="WW8Num3z0"/>
    <w:qFormat/>
    <w:rPr/>
  </w:style>
  <w:style w:type="character" w:styleId="WW8Num4z0">
    <w:name w:val="WW8Num4z0"/>
    <w:qFormat/>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7z0">
    <w:name w:val="WW8Num7z0"/>
    <w:qFormat/>
    <w:rPr>
      <w:rFonts w:ascii="Symbol" w:hAnsi="Symbol" w:cs="Symbol"/>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8z0">
    <w:name w:val="WW8Num8z0"/>
    <w:qFormat/>
    <w:rPr>
      <w:rFonts w:ascii="Symbol" w:hAnsi="Symbol" w:cs="Symbol"/>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character" w:styleId="DefaultParagraphFont">
    <w:name w:val="Default Paragraph Font"/>
    <w:qFormat/>
    <w:rPr/>
  </w:style>
  <w:style w:type="character" w:styleId="InternetLink">
    <w:name w:val="Hyperlink"/>
    <w:basedOn w:val="DefaultParagraphFont"/>
    <w:rPr>
      <w:color w:val="0000FF"/>
      <w:u w:val="single"/>
    </w:rPr>
  </w:style>
  <w:style w:type="character" w:styleId="VisitedInternetLink">
    <w:name w:val="FollowedHyperlink"/>
    <w:basedOn w:val="DefaultParagraphFont"/>
    <w:rPr>
      <w:color w:val="800080"/>
      <w:u w:val="single"/>
    </w:rPr>
  </w:style>
  <w:style w:type="character" w:styleId="CommentReference">
    <w:name w:val="Comment Reference"/>
    <w:basedOn w:val="DefaultParagraphFont"/>
    <w:qFormat/>
    <w:rPr>
      <w:sz w:val="16"/>
      <w:szCs w:val="16"/>
    </w:rPr>
  </w:style>
  <w:style w:type="character" w:styleId="StrongEmphasis">
    <w:name w:val="Strong Emphasis"/>
    <w:basedOn w:val="DefaultParagraphFont"/>
    <w:qFormat/>
    <w:rPr>
      <w:b/>
      <w:bCs/>
    </w:rPr>
  </w:style>
  <w:style w:type="character" w:styleId="HeaderChar">
    <w:name w:val="Header Char"/>
    <w:basedOn w:val="DefaultParagraphFont"/>
    <w:qFormat/>
    <w:rPr>
      <w:sz w:val="24"/>
      <w:szCs w:val="24"/>
    </w:rPr>
  </w:style>
  <w:style w:type="character" w:styleId="DefaultChar">
    <w:name w:val="Default Char"/>
    <w:basedOn w:val="DefaultParagraphFont"/>
    <w:qFormat/>
    <w:rPr>
      <w:rFonts w:ascii="Arial" w:hAnsi="Arial" w:cs="Arial"/>
      <w:color w:val="000000"/>
      <w:sz w:val="24"/>
      <w:szCs w:val="24"/>
      <w:lang w:val="en-US" w:bidi="ar-SA"/>
    </w:rPr>
  </w:style>
  <w:style w:type="character" w:styleId="CommentTextChar">
    <w:name w:val="Comment Text Char"/>
    <w:basedOn w:val="DefaultParagraphFont"/>
    <w:qFormat/>
    <w:rPr/>
  </w:style>
  <w:style w:type="paragraph" w:styleId="Heading">
    <w:name w:val="Heading"/>
    <w:basedOn w:val="Normal"/>
    <w:next w:val="TextBody"/>
    <w:qFormat/>
    <w:pPr>
      <w:keepNext w:val="true"/>
      <w:spacing w:before="240" w:after="120"/>
    </w:pPr>
    <w:rPr>
      <w:rFonts w:ascii="Liberation Sans" w:hAnsi="Liberation Sans" w:eastAsia="DejaVu Sans" w:cs="Noto Sans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Index">
    <w:name w:val="Index"/>
    <w:basedOn w:val="Normal"/>
    <w:qFormat/>
    <w:pPr>
      <w:suppressLineNumbers/>
    </w:pPr>
    <w:rPr>
      <w:rFonts w:cs="Noto Sans Devanagari"/>
    </w:rPr>
  </w:style>
  <w:style w:type="paragraph" w:styleId="HeaderandFooter">
    <w:name w:val="Header and Footer"/>
    <w:basedOn w:val="Normal"/>
    <w:qFormat/>
    <w:pPr>
      <w:suppressLineNumbers/>
      <w:tabs>
        <w:tab w:val="clear" w:pos="720"/>
        <w:tab w:val="center" w:pos="4819" w:leader="none"/>
        <w:tab w:val="right" w:pos="9638"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CommentText">
    <w:name w:val="Comment Text"/>
    <w:basedOn w:val="Normal"/>
    <w:qFormat/>
    <w:pPr/>
    <w:rPr>
      <w:sz w:val="20"/>
      <w:szCs w:val="20"/>
    </w:rPr>
  </w:style>
  <w:style w:type="paragraph" w:styleId="CommentSubject">
    <w:name w:val="Comment Subject"/>
    <w:basedOn w:val="CommentText"/>
    <w:next w:val="CommentText"/>
    <w:qFormat/>
    <w:pPr/>
    <w:rPr>
      <w:b/>
      <w:bCs/>
    </w:rPr>
  </w:style>
  <w:style w:type="paragraph" w:styleId="BalloonText">
    <w:name w:val="Balloon Text"/>
    <w:basedOn w:val="Normal"/>
    <w:qFormat/>
    <w:pPr/>
    <w:rPr>
      <w:rFonts w:ascii="Tahoma" w:hAnsi="Tahoma" w:cs="Tahoma"/>
      <w:sz w:val="16"/>
      <w:szCs w:val="16"/>
    </w:rPr>
  </w:style>
  <w:style w:type="paragraph" w:styleId="ListParagraph">
    <w:name w:val="List Paragraph"/>
    <w:basedOn w:val="Normal"/>
    <w:qFormat/>
    <w:pPr>
      <w:spacing w:before="0" w:after="0"/>
      <w:ind w:left="720" w:hanging="0"/>
      <w:contextualSpacing/>
    </w:pPr>
    <w:rPr/>
  </w:style>
  <w:style w:type="paragraph" w:styleId="Default">
    <w:name w:val="Default"/>
    <w:qFormat/>
    <w:pPr>
      <w:widowControl/>
      <w:autoSpaceDE w:val="false"/>
      <w:bidi w:val="0"/>
    </w:pPr>
    <w:rPr>
      <w:rFonts w:ascii="Arial" w:hAnsi="Arial" w:eastAsia="Times New Roman" w:cs="Arial"/>
      <w:color w:val="000000"/>
      <w:sz w:val="24"/>
      <w:szCs w:val="24"/>
      <w:lang w:val="en-US" w:bidi="ar-SA" w:eastAsia="zh-CN"/>
    </w:rPr>
  </w:style>
  <w:style w:type="paragraph" w:styleId="Revision">
    <w:name w:val="Revision"/>
    <w:qFormat/>
    <w:pPr>
      <w:widowControl/>
      <w:bidi w:val="0"/>
    </w:pPr>
    <w:rPr>
      <w:rFonts w:ascii="Times New Roman" w:hAnsi="Times New Roman" w:eastAsia="Times New Roman" w:cs="Times New Roman"/>
      <w:color w:val="auto"/>
      <w:sz w:val="24"/>
      <w:szCs w:val="24"/>
      <w:lang w:val="en-US" w:bidi="ar-SA" w:eastAsia="zh-CN"/>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Normal.dotm</Template>
  <TotalTime>19</TotalTime>
  <Application>LibreOffice/7.3.7.2$Linux_X86_64 LibreOffice_project/30$Build-2</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2011-09-09T18:49:00Z</dcterms:created>
  <dc:creator>whuggins</dc:creator>
  <dc:description/>
  <cp:keywords/>
  <dc:language>en-US</dc:language>
  <cp:lastModifiedBy>ngaddis</cp:lastModifiedBy>
  <cp:lastPrinted>2009-03-24T15:13:00Z</cp:lastPrinted>
  <dcterms:modified xsi:type="dcterms:W3CDTF">2011-10-10T13:49:00Z</dcterms:modified>
  <cp:revision>11</cp:revision>
  <dc:subject/>
  <dc:title/>
</cp:coreProperties>
</file>