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D4B" w14:textId="77777777" w:rsidR="003F496E" w:rsidRDefault="003F496E" w:rsidP="00C155D7">
      <w:pPr>
        <w:ind w:left="-720" w:right="-432"/>
        <w:contextualSpacing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BA3E27" w:rsidRPr="00B12118" w14:paraId="5502F89F" w14:textId="77777777" w:rsidTr="006E15C0">
        <w:trPr>
          <w:jc w:val="center"/>
        </w:trPr>
        <w:tc>
          <w:tcPr>
            <w:tcW w:w="9360" w:type="dxa"/>
            <w:gridSpan w:val="2"/>
          </w:tcPr>
          <w:p w14:paraId="29E1C302" w14:textId="77777777" w:rsidR="00BA3E27" w:rsidRPr="00C155D7" w:rsidRDefault="0007791C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6E8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</w:tc>
      </w:tr>
      <w:tr w:rsidR="00733C41" w:rsidRPr="00B12118" w14:paraId="18F60299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6E08BDE1" w14:textId="77777777" w:rsidR="00733C41" w:rsidRPr="00793F0B" w:rsidRDefault="00733C41" w:rsidP="006E15C0">
            <w:pPr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7056" w:type="dxa"/>
            <w:shd w:val="clear" w:color="auto" w:fill="auto"/>
          </w:tcPr>
          <w:p w14:paraId="606963F0" w14:textId="77777777" w:rsidR="0060430E" w:rsidRPr="0060430E" w:rsidRDefault="0060430E" w:rsidP="006043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430E">
              <w:rPr>
                <w:rFonts w:ascii="Arial" w:hAnsi="Arial" w:cs="Arial"/>
                <w:bCs/>
                <w:sz w:val="22"/>
                <w:szCs w:val="22"/>
              </w:rPr>
              <w:t>Smoking Cessation, Harm Reduction and Biomarkers</w:t>
            </w:r>
          </w:p>
          <w:p w14:paraId="462BCA20" w14:textId="77777777" w:rsidR="00733C41" w:rsidRPr="00EA0040" w:rsidRDefault="00733C41" w:rsidP="006E1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C41" w:rsidRPr="00B12118" w14:paraId="6D84FBBE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30CE5A4F" w14:textId="77777777" w:rsidR="00733C41" w:rsidRPr="00B12118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</w:t>
            </w:r>
          </w:p>
        </w:tc>
        <w:tc>
          <w:tcPr>
            <w:tcW w:w="7056" w:type="dxa"/>
            <w:shd w:val="clear" w:color="auto" w:fill="auto"/>
          </w:tcPr>
          <w:p w14:paraId="776B6169" w14:textId="77777777" w:rsidR="00733C41" w:rsidRPr="00EA0040" w:rsidRDefault="0060430E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Polygenic Risk Score (PRS)</w:t>
            </w:r>
          </w:p>
        </w:tc>
      </w:tr>
      <w:tr w:rsidR="00733C41" w:rsidRPr="00B12118" w14:paraId="64C1F296" w14:textId="77777777" w:rsidTr="006E15C0">
        <w:trPr>
          <w:jc w:val="center"/>
        </w:trPr>
        <w:tc>
          <w:tcPr>
            <w:tcW w:w="2304" w:type="dxa"/>
            <w:shd w:val="clear" w:color="auto" w:fill="auto"/>
          </w:tcPr>
          <w:p w14:paraId="21BA98F1" w14:textId="77777777" w:rsidR="00733C41" w:rsidRPr="00B12118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7056" w:type="dxa"/>
            <w:shd w:val="clear" w:color="auto" w:fill="auto"/>
          </w:tcPr>
          <w:p w14:paraId="0E8A2534" w14:textId="76E9B09F" w:rsidR="00176ABC" w:rsidRPr="00CC47BE" w:rsidRDefault="00176ABC" w:rsidP="006043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single</w:t>
            </w:r>
            <w:r w:rsidR="003451AD">
              <w:rPr>
                <w:rFonts w:ascii="Arial" w:hAnsi="Arial" w:cs="Arial"/>
                <w:sz w:val="22"/>
                <w:szCs w:val="22"/>
              </w:rPr>
              <w:t xml:space="preserve"> scored</w:t>
            </w:r>
            <w:r>
              <w:rPr>
                <w:rFonts w:ascii="Arial" w:hAnsi="Arial" w:cs="Arial"/>
                <w:sz w:val="22"/>
                <w:szCs w:val="22"/>
              </w:rPr>
              <w:t xml:space="preserve"> value that quantifies an individual’s genetic disposition to a trait, used to estimate the risk of disease or other clinically relevant outcomes</w:t>
            </w:r>
            <w:r w:rsidR="00DA464C">
              <w:rPr>
                <w:rFonts w:ascii="Arial" w:hAnsi="Arial" w:cs="Arial"/>
                <w:sz w:val="22"/>
                <w:szCs w:val="22"/>
              </w:rPr>
              <w:t xml:space="preserve"> including cardiovascular disease and breast cancer</w:t>
            </w:r>
            <w:r>
              <w:rPr>
                <w:rFonts w:ascii="Arial" w:hAnsi="Arial" w:cs="Arial"/>
                <w:sz w:val="22"/>
                <w:szCs w:val="22"/>
              </w:rPr>
              <w:t>. Typically, PRSs are calculated by summing the number of trait-associated alleles in an individual weighted by per-allele effect sizes from genome-wide association study (GWAS) data and normalized using a relevant population distribution.</w:t>
            </w:r>
          </w:p>
        </w:tc>
      </w:tr>
    </w:tbl>
    <w:p w14:paraId="7F845541" w14:textId="77777777" w:rsidR="003F496E" w:rsidRPr="00CC47BE" w:rsidRDefault="003F496E" w:rsidP="00C155D7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3F496E" w:rsidRPr="00CC47BE" w14:paraId="1143D129" w14:textId="77777777" w:rsidTr="006E15C0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ACFB" w14:textId="77777777" w:rsidR="007F7390" w:rsidRPr="00C155D7" w:rsidRDefault="00376CF0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CC47BE"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</w:tr>
      <w:tr w:rsidR="00733C41" w:rsidRPr="00CC47BE" w14:paraId="05920F25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B94E" w14:textId="77777777" w:rsidR="00733C41" w:rsidRPr="002D786B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D786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Protocol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D401" w14:textId="10BEB082" w:rsidR="00733C41" w:rsidRPr="008B7F05" w:rsidRDefault="00176ABC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284442">
              <w:rPr>
                <w:rFonts w:ascii="Arial" w:hAnsi="Arial" w:cs="Arial"/>
                <w:sz w:val="22"/>
                <w:szCs w:val="22"/>
              </w:rPr>
              <w:t>e National Human Genome Research Institute (NHGRI) Clinical Genome Resource’s (</w:t>
            </w:r>
            <w:proofErr w:type="spellStart"/>
            <w:r w:rsidR="00284442">
              <w:rPr>
                <w:rFonts w:ascii="Arial" w:hAnsi="Arial" w:cs="Arial"/>
                <w:sz w:val="22"/>
                <w:szCs w:val="22"/>
              </w:rPr>
              <w:t>ClinGen</w:t>
            </w:r>
            <w:proofErr w:type="spellEnd"/>
            <w:r w:rsidR="00284442">
              <w:rPr>
                <w:rFonts w:ascii="Arial" w:hAnsi="Arial" w:cs="Arial"/>
                <w:sz w:val="22"/>
                <w:szCs w:val="22"/>
              </w:rPr>
              <w:t xml:space="preserve">) Complex Disease Working Group </w:t>
            </w:r>
            <w:r w:rsidR="00DE58D7">
              <w:rPr>
                <w:rFonts w:ascii="Arial" w:hAnsi="Arial" w:cs="Arial"/>
                <w:sz w:val="22"/>
                <w:szCs w:val="22"/>
              </w:rPr>
              <w:t xml:space="preserve">and the Polygenic Score Catalog (PGS) </w:t>
            </w:r>
            <w:r w:rsidR="00260DFF">
              <w:rPr>
                <w:rFonts w:ascii="Arial" w:hAnsi="Arial" w:cs="Arial"/>
                <w:sz w:val="22"/>
                <w:szCs w:val="22"/>
              </w:rPr>
              <w:t xml:space="preserve">together </w:t>
            </w:r>
            <w:r w:rsidR="00DE58D7">
              <w:rPr>
                <w:rFonts w:ascii="Arial" w:hAnsi="Arial" w:cs="Arial"/>
                <w:sz w:val="22"/>
                <w:szCs w:val="22"/>
              </w:rPr>
              <w:t xml:space="preserve">define the </w:t>
            </w:r>
            <w:r w:rsidR="00284442">
              <w:rPr>
                <w:rFonts w:ascii="Arial" w:hAnsi="Arial" w:cs="Arial"/>
                <w:sz w:val="22"/>
                <w:szCs w:val="22"/>
              </w:rPr>
              <w:t>Polygenic Risk Score Reporting Standards (PRS-RS)</w:t>
            </w:r>
            <w:r w:rsidR="005A0081">
              <w:rPr>
                <w:rFonts w:ascii="Arial" w:hAnsi="Arial" w:cs="Arial"/>
                <w:sz w:val="22"/>
                <w:szCs w:val="22"/>
              </w:rPr>
              <w:t>. The PRS-RS are a suite of standard items outlining</w:t>
            </w:r>
            <w:r w:rsidR="00DE5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442">
              <w:rPr>
                <w:rFonts w:ascii="Arial" w:hAnsi="Arial" w:cs="Arial"/>
                <w:sz w:val="22"/>
                <w:szCs w:val="22"/>
              </w:rPr>
              <w:t xml:space="preserve">the minimal information needed to </w:t>
            </w:r>
            <w:r w:rsidR="00C8444C">
              <w:rPr>
                <w:rFonts w:ascii="Arial" w:hAnsi="Arial" w:cs="Arial"/>
                <w:sz w:val="22"/>
                <w:szCs w:val="22"/>
              </w:rPr>
              <w:t xml:space="preserve">develop, implement, </w:t>
            </w:r>
            <w:proofErr w:type="gramStart"/>
            <w:r w:rsidR="00284442">
              <w:rPr>
                <w:rFonts w:ascii="Arial" w:hAnsi="Arial" w:cs="Arial"/>
                <w:sz w:val="22"/>
                <w:szCs w:val="22"/>
              </w:rPr>
              <w:t>interpret</w:t>
            </w:r>
            <w:proofErr w:type="gramEnd"/>
            <w:r w:rsidR="00284442">
              <w:rPr>
                <w:rFonts w:ascii="Arial" w:hAnsi="Arial" w:cs="Arial"/>
                <w:sz w:val="22"/>
                <w:szCs w:val="22"/>
              </w:rPr>
              <w:t xml:space="preserve"> and evaluate PRSs</w:t>
            </w:r>
            <w:r w:rsidR="001126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081">
              <w:rPr>
                <w:rFonts w:ascii="Arial" w:hAnsi="Arial" w:cs="Arial"/>
                <w:sz w:val="22"/>
                <w:szCs w:val="22"/>
              </w:rPr>
              <w:t>regarding</w:t>
            </w:r>
            <w:r w:rsidR="00284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64C">
              <w:rPr>
                <w:rFonts w:ascii="Arial" w:hAnsi="Arial" w:cs="Arial"/>
                <w:sz w:val="22"/>
                <w:szCs w:val="22"/>
              </w:rPr>
              <w:t xml:space="preserve">reproducibility and transparency throughout </w:t>
            </w:r>
            <w:r w:rsidR="00112612">
              <w:rPr>
                <w:rFonts w:ascii="Arial" w:hAnsi="Arial" w:cs="Arial"/>
                <w:sz w:val="22"/>
                <w:szCs w:val="22"/>
              </w:rPr>
              <w:t>the PRS development process</w:t>
            </w:r>
            <w:r w:rsidR="00674AE5">
              <w:rPr>
                <w:rFonts w:ascii="Arial" w:hAnsi="Arial" w:cs="Arial"/>
                <w:sz w:val="22"/>
                <w:szCs w:val="22"/>
              </w:rPr>
              <w:t>, especially for downstream clinical applications</w:t>
            </w:r>
            <w:r w:rsidR="0011261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4AE5">
              <w:rPr>
                <w:rFonts w:ascii="Arial" w:hAnsi="Arial" w:cs="Arial"/>
                <w:sz w:val="22"/>
                <w:szCs w:val="22"/>
              </w:rPr>
              <w:t>Reporting standards include</w:t>
            </w:r>
            <w:r w:rsidR="00112612">
              <w:rPr>
                <w:rFonts w:ascii="Arial" w:hAnsi="Arial" w:cs="Arial"/>
                <w:sz w:val="22"/>
                <w:szCs w:val="22"/>
              </w:rPr>
              <w:t xml:space="preserve"> the background of risk scores, study populations, development of risk models, interpretation, and model parameters.</w:t>
            </w:r>
            <w:r w:rsidR="00DE58D7">
              <w:rPr>
                <w:rFonts w:ascii="Arial" w:hAnsi="Arial" w:cs="Arial"/>
                <w:sz w:val="22"/>
                <w:szCs w:val="22"/>
              </w:rPr>
              <w:t xml:space="preserve"> The PGS is an open database of polygenic risk scores and consistently curated metadata </w:t>
            </w:r>
            <w:r w:rsidR="00260DFF">
              <w:rPr>
                <w:rFonts w:ascii="Arial" w:hAnsi="Arial" w:cs="Arial"/>
                <w:sz w:val="22"/>
                <w:szCs w:val="22"/>
              </w:rPr>
              <w:t>needed for transparency and reproducibility of PRSs</w:t>
            </w:r>
            <w:r w:rsidR="00F549FE">
              <w:rPr>
                <w:rFonts w:ascii="Arial" w:hAnsi="Arial" w:cs="Arial"/>
                <w:sz w:val="22"/>
                <w:szCs w:val="22"/>
              </w:rPr>
              <w:t>. Many, but not all, traits and diseases are listed in the PGS. If a trait is not listed, the investigative team will need to develop the PRS for that trait</w:t>
            </w:r>
            <w:r w:rsidR="00260D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A3017" w:rsidRPr="00CC47BE" w14:paraId="4DB1AE38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BDAE" w14:textId="77777777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0757B2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b/>
                <w:sz w:val="22"/>
                <w:szCs w:val="22"/>
              </w:rPr>
              <w:t>ext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1BE" w14:textId="342FD77C" w:rsidR="00035143" w:rsidRPr="008B7F05" w:rsidRDefault="00DE58D7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NHGRI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ClinGen</w:t>
            </w:r>
            <w:proofErr w:type="spellEnd"/>
            <w:r w:rsidR="0040342D">
              <w:rPr>
                <w:rFonts w:ascii="Arial" w:hAnsi="Arial" w:cs="Arial"/>
                <w:sz w:val="22"/>
                <w:szCs w:val="22"/>
              </w:rPr>
              <w:t xml:space="preserve"> Complex Disease Working Group </w:t>
            </w:r>
            <w:r>
              <w:rPr>
                <w:rFonts w:ascii="Arial" w:hAnsi="Arial" w:cs="Arial"/>
                <w:sz w:val="22"/>
                <w:szCs w:val="22"/>
              </w:rPr>
              <w:t>and the PGS Catalog’s PRS-RS</w:t>
            </w:r>
            <w:r w:rsidR="0040342D">
              <w:rPr>
                <w:rFonts w:ascii="Arial" w:hAnsi="Arial" w:cs="Arial"/>
                <w:sz w:val="22"/>
                <w:szCs w:val="22"/>
              </w:rPr>
              <w:t xml:space="preserve"> are published in</w:t>
            </w:r>
            <w:r w:rsidR="00CA7368">
              <w:rPr>
                <w:rFonts w:ascii="Arial" w:hAnsi="Arial" w:cs="Arial"/>
                <w:sz w:val="22"/>
                <w:szCs w:val="22"/>
              </w:rPr>
              <w:t xml:space="preserve"> Wand et. al., 2021.</w:t>
            </w:r>
            <w:r w:rsidR="00403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DFF">
              <w:rPr>
                <w:rFonts w:ascii="Arial" w:hAnsi="Arial" w:cs="Arial"/>
                <w:sz w:val="22"/>
                <w:szCs w:val="22"/>
              </w:rPr>
              <w:t xml:space="preserve">The PGS Catalog is available at </w:t>
            </w:r>
            <w:hyperlink r:id="rId8" w:history="1">
              <w:r w:rsidR="00260DFF" w:rsidRPr="00260DF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https://www.pgscatalog.org/</w:t>
              </w:r>
            </w:hyperlink>
            <w:r w:rsidR="00260DFF">
              <w:rPr>
                <w:rFonts w:ascii="Arial" w:hAnsi="Arial" w:cs="Arial"/>
                <w:sz w:val="22"/>
                <w:szCs w:val="22"/>
              </w:rPr>
              <w:t>.</w:t>
            </w:r>
            <w:r w:rsidR="00CD79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9A2">
              <w:rPr>
                <w:rFonts w:ascii="Arial" w:hAnsi="Arial" w:cs="Arial"/>
                <w:sz w:val="22"/>
                <w:szCs w:val="22"/>
              </w:rPr>
              <w:t>The PGS Catalog contains links to summary statistics used to derive PGSs in t</w:t>
            </w:r>
            <w:r w:rsidR="00CD7926">
              <w:rPr>
                <w:rFonts w:ascii="Arial" w:hAnsi="Arial" w:cs="Arial"/>
                <w:sz w:val="22"/>
                <w:szCs w:val="22"/>
              </w:rPr>
              <w:t>he NHGRI-EBI GWAS Catalog</w:t>
            </w:r>
            <w:r w:rsidR="00044F4F">
              <w:rPr>
                <w:rFonts w:ascii="Arial" w:hAnsi="Arial" w:cs="Arial"/>
                <w:sz w:val="22"/>
                <w:szCs w:val="22"/>
              </w:rPr>
              <w:t xml:space="preserve">, available at </w:t>
            </w:r>
            <w:hyperlink r:id="rId9" w:history="1">
              <w:r w:rsidR="00044F4F" w:rsidRPr="00F4714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https://www.ebi.ac.uk/gwas/downloads/summary-statistics</w:t>
              </w:r>
            </w:hyperlink>
            <w:r w:rsidR="005529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33C41" w:rsidRPr="00CC47BE" w14:paraId="2B5947E0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7D06" w14:textId="77777777" w:rsidR="00733C41" w:rsidRPr="00CC47BE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317D" w14:textId="77777777" w:rsidR="00733C41" w:rsidRPr="00223B1F" w:rsidRDefault="00CA7368" w:rsidP="006E15C0">
            <w:pPr>
              <w:rPr>
                <w:rStyle w:val="DefaultChar"/>
                <w:sz w:val="22"/>
                <w:szCs w:val="22"/>
                <w:highlight w:val="yellow"/>
              </w:rPr>
            </w:pPr>
            <w:r w:rsidRPr="00CA7368">
              <w:rPr>
                <w:rStyle w:val="DefaultChar"/>
                <w:sz w:val="22"/>
                <w:szCs w:val="22"/>
              </w:rPr>
              <w:t>All ages</w:t>
            </w:r>
          </w:p>
        </w:tc>
      </w:tr>
      <w:tr w:rsidR="00733C41" w:rsidRPr="00CC47BE" w14:paraId="757FDF79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3072" w14:textId="77777777" w:rsidR="00733C41" w:rsidRPr="00CC47BE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579C" w14:textId="67849BDD" w:rsidR="005529A2" w:rsidRPr="008508B4" w:rsidRDefault="008715D0" w:rsidP="00044F4F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Wand, H., Lambert, S. A.,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Tamburro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C., Iacocca, M. A., O'Sullivan, J. W.,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Sillari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C.,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Kullo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I. J., Rowley, R.,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Dron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J. S., Brockman, D.,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Venner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E., McCarthy, M. I., Antoniou, A. C., Easton, D. F.,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Hegele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R. A.,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Khera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A. V., Chatterjee, N.,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Kooperberg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C., Edwards, K., </w:t>
            </w:r>
            <w:proofErr w:type="spellStart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Vlessis</w:t>
            </w:r>
            <w:proofErr w:type="spellEnd"/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K., … Wojcik, G. L. (2021). Improving reporting standards for </w:t>
            </w:r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polygenic scores in risk prediction studies. </w:t>
            </w:r>
            <w:r w:rsidRPr="001261E6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Nature</w:t>
            </w:r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1261E6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591</w:t>
            </w:r>
            <w:r w:rsidRPr="001261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(7849), 211–219. </w:t>
            </w:r>
          </w:p>
        </w:tc>
      </w:tr>
      <w:tr w:rsidR="00EA3017" w:rsidRPr="00CC47BE" w14:paraId="561C49FF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2310" w14:textId="77777777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lastRenderedPageBreak/>
              <w:t>Language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Source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EB44" w14:textId="77777777" w:rsidR="00EA3017" w:rsidRPr="00631502" w:rsidRDefault="00FD7BDA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150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733C41" w:rsidRPr="00CC47BE" w14:paraId="745B37D4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19E" w14:textId="77777777" w:rsidR="00733C41" w:rsidRPr="00B03D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03D26">
              <w:rPr>
                <w:rFonts w:ascii="Arial" w:hAnsi="Arial" w:cs="Arial"/>
                <w:b/>
                <w:sz w:val="22"/>
                <w:szCs w:val="22"/>
              </w:rPr>
              <w:t>Personnel and Training Required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E60C" w14:textId="218F40A7" w:rsidR="00EA4A9A" w:rsidRPr="005543C2" w:rsidRDefault="00EA4A9A" w:rsidP="00EA4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in the use of PRS </w:t>
            </w:r>
            <w:r w:rsidR="001261E6"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>
              <w:rPr>
                <w:rFonts w:ascii="Arial" w:hAnsi="Arial" w:cs="Arial"/>
                <w:sz w:val="22"/>
                <w:szCs w:val="22"/>
              </w:rPr>
              <w:t>software.</w:t>
            </w:r>
          </w:p>
          <w:p w14:paraId="4C40FDF3" w14:textId="77777777" w:rsidR="00733C41" w:rsidRPr="00732DED" w:rsidRDefault="00733C41" w:rsidP="006E15C0">
            <w:pPr>
              <w:contextualSpacing/>
              <w:rPr>
                <w:rStyle w:val="DefaultChar"/>
                <w:sz w:val="22"/>
                <w:szCs w:val="22"/>
              </w:rPr>
            </w:pPr>
          </w:p>
        </w:tc>
      </w:tr>
      <w:tr w:rsidR="00733C41" w:rsidRPr="00CC47BE" w14:paraId="72C9EDD8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B713" w14:textId="77777777" w:rsidR="00733C41" w:rsidRPr="00C155D7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03D26"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3A0D" w14:textId="7E862930" w:rsidR="00733C41" w:rsidRPr="00732DED" w:rsidRDefault="00EA4A9A" w:rsidP="006E15C0">
            <w:pPr>
              <w:rPr>
                <w:rStyle w:val="DefaultChar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method require</w:t>
            </w:r>
            <w:r w:rsidR="00EA220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use of software</w:t>
            </w:r>
            <w:r w:rsidR="00EA220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12ACD">
              <w:rPr>
                <w:rFonts w:ascii="Arial" w:hAnsi="Arial" w:cs="Arial"/>
                <w:sz w:val="22"/>
                <w:szCs w:val="22"/>
              </w:rPr>
              <w:t>analyze</w:t>
            </w:r>
            <w:r w:rsidR="00EA220E">
              <w:rPr>
                <w:rFonts w:ascii="Arial" w:hAnsi="Arial" w:cs="Arial"/>
                <w:sz w:val="22"/>
                <w:szCs w:val="22"/>
              </w:rPr>
              <w:t xml:space="preserve"> and calculate the PRS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3017" w:rsidRPr="00CC47BE" w14:paraId="1B84BD85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719A" w14:textId="77777777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Type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FDC8" w14:textId="77777777" w:rsidR="00736235" w:rsidRPr="00631502" w:rsidRDefault="00EA4A9A" w:rsidP="006E15C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31502">
              <w:rPr>
                <w:rFonts w:ascii="Arial" w:hAnsi="Arial" w:cs="Arial"/>
                <w:bCs/>
                <w:sz w:val="22"/>
                <w:szCs w:val="22"/>
              </w:rPr>
              <w:t xml:space="preserve">Secondary Data Analysis  </w:t>
            </w:r>
          </w:p>
        </w:tc>
      </w:tr>
      <w:tr w:rsidR="00733C41" w:rsidRPr="00CC47BE" w14:paraId="7031BBAB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6551" w14:textId="77777777" w:rsidR="00733C41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References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3F0" w14:textId="331BB854" w:rsidR="008508B4" w:rsidRPr="005D5DF6" w:rsidRDefault="008508B4" w:rsidP="00A600D6">
            <w:pPr>
              <w:rPr>
                <w:rFonts w:ascii="Helvetica Neue" w:hAnsi="Helvetica Neue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Buniello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A., MacArthur, J.A.L.,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Cerezo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M., Harris, L.W., Hayhurst, J.,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Malangone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C., McMahon, A., Morales, J., Mountjoy, E.,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Sollis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E.,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Suveges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D.,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Vrousgou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O.,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Whetzel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P.L.,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Amode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R., Guillen, J.A.,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Riat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H.S.,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Trevanion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S.J., Hall, P.,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Junkins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H.,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Flicek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, P., Burdett, T., </w:t>
            </w:r>
            <w:proofErr w:type="spellStart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Hindorff</w:t>
            </w:r>
            <w:proofErr w:type="spellEnd"/>
            <w:r w:rsidRPr="005D5DF6">
              <w:rPr>
                <w:rStyle w:val="Emphasis"/>
                <w:rFonts w:ascii="Helvetica Neue" w:hAnsi="Helvetica Neue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, L.A., Cunningham, F. and Parkinson, H.</w:t>
            </w:r>
            <w:r w:rsidRPr="005D5DF6">
              <w:rPr>
                <w:rFonts w:ascii="Helvetica Neue" w:hAnsi="Helvetica Neue"/>
                <w:color w:val="000000" w:themeColor="text1"/>
                <w:sz w:val="21"/>
                <w:szCs w:val="21"/>
              </w:rPr>
              <w:t xml:space="preserve"> (2019). </w:t>
            </w:r>
            <w:r w:rsidRPr="005D5DF6">
              <w:rPr>
                <w:rFonts w:ascii="Helvetica Neue" w:hAnsi="Helvetica Neue"/>
                <w:color w:val="000000" w:themeColor="text1"/>
                <w:sz w:val="21"/>
                <w:szCs w:val="21"/>
                <w:shd w:val="clear" w:color="auto" w:fill="FFFFFF"/>
              </w:rPr>
              <w:t>The NHGRI-EBI GWAS Catalog of published genome-wide association studies, targeted arrays and summary statistics 2019.</w:t>
            </w:r>
            <w:r w:rsidRPr="005D5DF6">
              <w:rPr>
                <w:rFonts w:ascii="Helvetica Neue" w:hAnsi="Helvetica Neue"/>
                <w:color w:val="000000" w:themeColor="text1"/>
                <w:sz w:val="21"/>
                <w:szCs w:val="21"/>
              </w:rPr>
              <w:t xml:space="preserve"> </w:t>
            </w:r>
            <w:r w:rsidRPr="005D5DF6">
              <w:rPr>
                <w:rFonts w:ascii="Helvetica Neue" w:hAnsi="Helvetica Neue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Nucleic Acids Research</w:t>
            </w:r>
            <w:r w:rsidRPr="005D5DF6">
              <w:rPr>
                <w:rFonts w:ascii="Helvetica Neue" w:hAnsi="Helvetica Neue"/>
                <w:color w:val="000000" w:themeColor="text1"/>
                <w:sz w:val="21"/>
                <w:szCs w:val="21"/>
                <w:shd w:val="clear" w:color="auto" w:fill="FFFFFF"/>
              </w:rPr>
              <w:t>, 47 (Database issue), D1005-D1012.</w:t>
            </w:r>
          </w:p>
          <w:p w14:paraId="232542E9" w14:textId="77777777" w:rsidR="008508B4" w:rsidRDefault="008508B4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A6B1A2" w14:textId="52D988E9" w:rsidR="00A600D6" w:rsidRPr="00631502" w:rsidRDefault="00A600D6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Choi, S. W.,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Mak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T. S., &amp; O'Reilly, P. F. (2020). Tutorial: a guide to performing polygenic risk score analyses. </w:t>
            </w:r>
            <w:r w:rsidRPr="0063150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Nature protocols</w:t>
            </w: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63150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15</w:t>
            </w: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(9), 2759–2772. </w:t>
            </w:r>
          </w:p>
          <w:p w14:paraId="68F9928E" w14:textId="77777777" w:rsidR="00A75A22" w:rsidRPr="00631502" w:rsidRDefault="00A75A22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978316B" w14:textId="77777777" w:rsidR="00A600D6" w:rsidRPr="00512ACD" w:rsidRDefault="00A75A22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Khera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A. V., Chaffin, M., Wade, K. H., Zahid, S.,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Brancale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J., Xia, R., Distefano, M.,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Senol-Cosar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O., Haas, M. E., Bick, A.,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Aragam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K. G., Lander, E. S., Smith, G. D., Mason-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Suares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H.,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Fornage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M.,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Lebo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M., Timpson, N. J., Kaplan, L. M., &amp;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Kathiresan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S. (2019). Polygenic Prediction of Weight and Obesity Trajectories from Birth to Adulthood. </w:t>
            </w:r>
            <w:r w:rsidRPr="00512ACD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Cell</w:t>
            </w:r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512ACD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177</w:t>
            </w:r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(3), 587–596.e9. </w:t>
            </w:r>
          </w:p>
          <w:p w14:paraId="4A1D0446" w14:textId="5639DA41" w:rsidR="007B64E5" w:rsidRDefault="007B64E5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476CDE1" w14:textId="5CC4D12E" w:rsidR="007B64E5" w:rsidRPr="00512ACD" w:rsidRDefault="007B64E5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Lambert, S. A., Gil, L.,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Jupp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S., Ritchie, S. C., Xu, Y.,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Buniello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A., McMahon, A., Abraham, G., Chapman, M., Parkinson, H., </w:t>
            </w:r>
            <w:proofErr w:type="spellStart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Danesh</w:t>
            </w:r>
            <w:proofErr w:type="spellEnd"/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J., MacArthur, J., &amp; Inouye, M. (2021). The Polygenic Score Catalog as an open database for reproducibility and systematic evaluation. </w:t>
            </w:r>
            <w:r w:rsidRPr="00512ACD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Nature genetics</w:t>
            </w:r>
            <w:r w:rsidRPr="00512A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10.1038/s41588-021-00783-5. Advance online publication.</w:t>
            </w:r>
          </w:p>
          <w:p w14:paraId="16234CF4" w14:textId="77777777" w:rsidR="00A600D6" w:rsidRPr="00512ACD" w:rsidRDefault="00A600D6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34BEB34" w14:textId="77777777" w:rsidR="00A600D6" w:rsidRPr="00631502" w:rsidRDefault="00A600D6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Liu, M., Jiang, Y.,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Wedow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R., Li, Y.,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Brazel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D. M., Chen, F., Datta, G., Davila-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Velderrain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J., McGuire, D., Tian, C., Zhan, X., 23andMe Research Team, HUNT All-In Psychiatry,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Choquet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H., Docherty, A. R.,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Faul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J. D., Foerster, J. R., Fritsche, L. G.,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Gabrielsen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M. E., Gordon, S. D., … </w:t>
            </w:r>
            <w:proofErr w:type="spellStart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Vrieze</w:t>
            </w:r>
            <w:proofErr w:type="spellEnd"/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S. (2019). Association studies of up to 1.2 million individuals yield new insights into the genetic etiology of tobacco and alcohol use. </w:t>
            </w:r>
            <w:r w:rsidRPr="0063150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Nature genetics</w:t>
            </w: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63150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51</w:t>
            </w: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(2), 237–244. </w:t>
            </w:r>
          </w:p>
          <w:p w14:paraId="728B1D6D" w14:textId="77777777" w:rsidR="00A600D6" w:rsidRPr="00512ACD" w:rsidRDefault="00A600D6" w:rsidP="00A600D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DF4E23F" w14:textId="77777777" w:rsidR="00A600D6" w:rsidRPr="00631502" w:rsidRDefault="00A600D6" w:rsidP="00A600D6">
            <w:pPr>
              <w:rPr>
                <w:rFonts w:ascii="Arial" w:hAnsi="Arial" w:cs="Arial"/>
                <w:sz w:val="22"/>
                <w:szCs w:val="22"/>
              </w:rPr>
            </w:pP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Martin, A. R., Daly, M. J., Robinson, E. B., Hyman, S. E., &amp; Neale, B. M. (2019). Predicting Polygenic Risk of Psychiatric Disorders. </w:t>
            </w:r>
            <w:r w:rsidRPr="0063150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Biological psychiatry</w:t>
            </w: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63150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86</w:t>
            </w:r>
            <w:r w:rsidRPr="006315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(2), 97–109. </w:t>
            </w:r>
          </w:p>
          <w:p w14:paraId="16986A46" w14:textId="77777777" w:rsidR="00A600D6" w:rsidRPr="00A600D6" w:rsidRDefault="00A600D6" w:rsidP="00A60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7B2" w:rsidRPr="00CC47BE" w14:paraId="3EAB8E2B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0D3" w14:textId="77777777" w:rsidR="000757B2" w:rsidRDefault="000757B2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Process and Review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B251" w14:textId="77777777" w:rsidR="001C0073" w:rsidRPr="004A52B6" w:rsidRDefault="001C0073" w:rsidP="001C0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  <w:p w14:paraId="320681BA" w14:textId="77777777" w:rsidR="000757B2" w:rsidRDefault="000757B2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9DA0B" w14:textId="77777777" w:rsidR="003F496E" w:rsidRDefault="003F496E" w:rsidP="00C155D7">
      <w:pPr>
        <w:contextualSpacing/>
      </w:pPr>
    </w:p>
    <w:sectPr w:rsidR="003F496E" w:rsidSect="00C37848">
      <w:headerReference w:type="default" r:id="rId10"/>
      <w:footerReference w:type="default" r:id="rId11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322C" w14:textId="77777777" w:rsidR="00AD05C9" w:rsidRDefault="00AD05C9">
      <w:r>
        <w:separator/>
      </w:r>
    </w:p>
  </w:endnote>
  <w:endnote w:type="continuationSeparator" w:id="0">
    <w:p w14:paraId="641D9F40" w14:textId="77777777" w:rsidR="00AD05C9" w:rsidRDefault="00AD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02A" w14:textId="77777777" w:rsidR="00953E6F" w:rsidRDefault="00953E6F" w:rsidP="006E61F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</w:p>
  <w:p w14:paraId="3E089999" w14:textId="77777777" w:rsidR="00A93B52" w:rsidRPr="00152682" w:rsidRDefault="00152682" w:rsidP="00152682">
    <w:pPr>
      <w:jc w:val="center"/>
      <w:rPr>
        <w:rFonts w:ascii="Arial" w:hAnsi="Arial" w:cs="Arial"/>
        <w:b/>
        <w:bCs/>
        <w:sz w:val="20"/>
        <w:szCs w:val="20"/>
      </w:rPr>
    </w:pPr>
    <w:r w:rsidRPr="00152682">
      <w:rPr>
        <w:rFonts w:ascii="Arial" w:hAnsi="Arial" w:cs="Arial"/>
        <w:b/>
        <w:bCs/>
        <w:sz w:val="20"/>
        <w:szCs w:val="20"/>
      </w:rPr>
      <w:t>Polygenic Risk Score (PRS)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908C" w14:textId="77777777" w:rsidR="00AD05C9" w:rsidRDefault="00AD05C9">
      <w:r>
        <w:separator/>
      </w:r>
    </w:p>
  </w:footnote>
  <w:footnote w:type="continuationSeparator" w:id="0">
    <w:p w14:paraId="541CC720" w14:textId="77777777" w:rsidR="00AD05C9" w:rsidRDefault="00AD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46B9" w14:textId="77777777" w:rsidR="00953E6F" w:rsidRDefault="00953E6F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403CF4E8" w14:textId="77777777" w:rsidR="00733C41" w:rsidRDefault="00733C41" w:rsidP="00733C41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Domain: </w:t>
    </w:r>
    <w:r w:rsidR="0060430E">
      <w:rPr>
        <w:rFonts w:ascii="Arial" w:hAnsi="Arial" w:cs="Arial"/>
        <w:b/>
        <w:sz w:val="20"/>
        <w:szCs w:val="20"/>
      </w:rPr>
      <w:t>Smoking Cessation, Harm Reduction and Biomarkers</w:t>
    </w:r>
  </w:p>
  <w:p w14:paraId="7D8C4FFB" w14:textId="77777777" w:rsidR="00733C41" w:rsidRDefault="00733C41" w:rsidP="001902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Release Date:</w:t>
    </w:r>
    <w:r>
      <w:rPr>
        <w:rFonts w:ascii="Arial" w:hAnsi="Arial" w:cs="Arial"/>
        <w:b/>
        <w:sz w:val="20"/>
        <w:szCs w:val="20"/>
      </w:rPr>
      <w:tab/>
    </w:r>
  </w:p>
  <w:p w14:paraId="0AE53903" w14:textId="77777777" w:rsidR="00953E6F" w:rsidRPr="0060430E" w:rsidRDefault="0060430E" w:rsidP="006E61F9">
    <w:pPr>
      <w:rPr>
        <w:rFonts w:ascii="Arial" w:hAnsi="Arial" w:cs="Arial"/>
        <w:b/>
        <w:bCs/>
        <w:sz w:val="20"/>
        <w:szCs w:val="20"/>
      </w:rPr>
    </w:pPr>
    <w:r w:rsidRPr="0060430E">
      <w:rPr>
        <w:rFonts w:ascii="Arial" w:hAnsi="Arial" w:cs="Arial"/>
        <w:b/>
        <w:bCs/>
        <w:sz w:val="20"/>
        <w:szCs w:val="20"/>
      </w:rPr>
      <w:t>Polygenic Risk Score (PRS)</w:t>
    </w:r>
    <w:r w:rsidR="00953E6F" w:rsidRPr="0060430E">
      <w:rPr>
        <w:rFonts w:ascii="Arial" w:hAnsi="Arial" w:cs="Arial"/>
        <w:b/>
        <w:bCs/>
        <w:sz w:val="20"/>
        <w:szCs w:val="20"/>
      </w:rPr>
      <w:tab/>
    </w:r>
    <w:r w:rsidR="00953E6F" w:rsidRPr="0060430E">
      <w:rPr>
        <w:rFonts w:ascii="Arial" w:hAnsi="Arial" w:cs="Arial"/>
        <w:b/>
        <w:bCs/>
        <w:sz w:val="20"/>
        <w:szCs w:val="20"/>
      </w:rPr>
      <w:tab/>
    </w:r>
    <w:r w:rsidR="00953E6F" w:rsidRPr="0060430E">
      <w:rPr>
        <w:rFonts w:ascii="Arial" w:hAnsi="Arial" w:cs="Arial"/>
        <w:b/>
        <w:bCs/>
        <w:sz w:val="20"/>
        <w:szCs w:val="20"/>
      </w:rPr>
      <w:tab/>
    </w:r>
    <w:r w:rsidR="00953E6F" w:rsidRPr="0060430E">
      <w:rPr>
        <w:rFonts w:ascii="Arial" w:hAnsi="Arial" w:cs="Arial"/>
        <w:b/>
        <w:bCs/>
        <w:sz w:val="20"/>
        <w:szCs w:val="20"/>
      </w:rPr>
      <w:tab/>
    </w:r>
  </w:p>
  <w:p w14:paraId="16C8E010" w14:textId="77777777" w:rsidR="00953E6F" w:rsidRDefault="00953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C2"/>
    <w:multiLevelType w:val="hybridMultilevel"/>
    <w:tmpl w:val="5516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FEC"/>
    <w:multiLevelType w:val="hybridMultilevel"/>
    <w:tmpl w:val="CD7EDC92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12602EE9"/>
    <w:multiLevelType w:val="hybridMultilevel"/>
    <w:tmpl w:val="DAC2DB1E"/>
    <w:lvl w:ilvl="0" w:tplc="9E0E2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87D33"/>
    <w:multiLevelType w:val="hybridMultilevel"/>
    <w:tmpl w:val="91CA99F2"/>
    <w:lvl w:ilvl="0" w:tplc="7C7AB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14071"/>
    <w:multiLevelType w:val="hybridMultilevel"/>
    <w:tmpl w:val="EBA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78A"/>
    <w:multiLevelType w:val="hybridMultilevel"/>
    <w:tmpl w:val="CF84BB74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7C790B8F"/>
    <w:multiLevelType w:val="hybridMultilevel"/>
    <w:tmpl w:val="A4F4B130"/>
    <w:lvl w:ilvl="0" w:tplc="6632059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00234E"/>
    <w:rsid w:val="0000371A"/>
    <w:rsid w:val="00012AE8"/>
    <w:rsid w:val="00022213"/>
    <w:rsid w:val="00022357"/>
    <w:rsid w:val="00027BF8"/>
    <w:rsid w:val="00027F50"/>
    <w:rsid w:val="00034A43"/>
    <w:rsid w:val="00035143"/>
    <w:rsid w:val="00036636"/>
    <w:rsid w:val="00041101"/>
    <w:rsid w:val="000449BC"/>
    <w:rsid w:val="00044F4F"/>
    <w:rsid w:val="000454A2"/>
    <w:rsid w:val="000521A6"/>
    <w:rsid w:val="00054254"/>
    <w:rsid w:val="00055008"/>
    <w:rsid w:val="000557A5"/>
    <w:rsid w:val="00073724"/>
    <w:rsid w:val="000753CA"/>
    <w:rsid w:val="000757B2"/>
    <w:rsid w:val="0007791C"/>
    <w:rsid w:val="00086B33"/>
    <w:rsid w:val="000908D3"/>
    <w:rsid w:val="000913FF"/>
    <w:rsid w:val="00091B07"/>
    <w:rsid w:val="000948ED"/>
    <w:rsid w:val="000A64F2"/>
    <w:rsid w:val="000C4564"/>
    <w:rsid w:val="000D0F67"/>
    <w:rsid w:val="000D37EF"/>
    <w:rsid w:val="000E32B2"/>
    <w:rsid w:val="000F6FE6"/>
    <w:rsid w:val="00112612"/>
    <w:rsid w:val="00117985"/>
    <w:rsid w:val="00120BDC"/>
    <w:rsid w:val="001261E6"/>
    <w:rsid w:val="00127C66"/>
    <w:rsid w:val="001362C0"/>
    <w:rsid w:val="00145CDB"/>
    <w:rsid w:val="0015097C"/>
    <w:rsid w:val="00152682"/>
    <w:rsid w:val="00152E56"/>
    <w:rsid w:val="00163231"/>
    <w:rsid w:val="00166E2A"/>
    <w:rsid w:val="00172E1C"/>
    <w:rsid w:val="00176ABC"/>
    <w:rsid w:val="0017784A"/>
    <w:rsid w:val="00183973"/>
    <w:rsid w:val="00185564"/>
    <w:rsid w:val="001902F9"/>
    <w:rsid w:val="00196D1F"/>
    <w:rsid w:val="001A2D35"/>
    <w:rsid w:val="001A419B"/>
    <w:rsid w:val="001B09DA"/>
    <w:rsid w:val="001B0B9D"/>
    <w:rsid w:val="001B0CA5"/>
    <w:rsid w:val="001B73D0"/>
    <w:rsid w:val="001C0073"/>
    <w:rsid w:val="001C7AF5"/>
    <w:rsid w:val="001D2DF4"/>
    <w:rsid w:val="001D3952"/>
    <w:rsid w:val="001D6184"/>
    <w:rsid w:val="001E09FF"/>
    <w:rsid w:val="001E36C0"/>
    <w:rsid w:val="001F5035"/>
    <w:rsid w:val="001F69B9"/>
    <w:rsid w:val="00202C57"/>
    <w:rsid w:val="00214DD1"/>
    <w:rsid w:val="00223B1F"/>
    <w:rsid w:val="002310D8"/>
    <w:rsid w:val="00252180"/>
    <w:rsid w:val="00253013"/>
    <w:rsid w:val="00253655"/>
    <w:rsid w:val="00254644"/>
    <w:rsid w:val="002576B8"/>
    <w:rsid w:val="00260DFF"/>
    <w:rsid w:val="002611D8"/>
    <w:rsid w:val="00262A7E"/>
    <w:rsid w:val="00267FEC"/>
    <w:rsid w:val="00273682"/>
    <w:rsid w:val="00275CD2"/>
    <w:rsid w:val="002806C3"/>
    <w:rsid w:val="00280A6F"/>
    <w:rsid w:val="00280FDC"/>
    <w:rsid w:val="00282E2F"/>
    <w:rsid w:val="00283D7C"/>
    <w:rsid w:val="00284442"/>
    <w:rsid w:val="00285B36"/>
    <w:rsid w:val="0029042F"/>
    <w:rsid w:val="00292A73"/>
    <w:rsid w:val="002B2A5B"/>
    <w:rsid w:val="002B2AC4"/>
    <w:rsid w:val="002B592B"/>
    <w:rsid w:val="002C076E"/>
    <w:rsid w:val="002C7EAF"/>
    <w:rsid w:val="002D786B"/>
    <w:rsid w:val="002E0B4A"/>
    <w:rsid w:val="002E6D16"/>
    <w:rsid w:val="0030486B"/>
    <w:rsid w:val="003071EB"/>
    <w:rsid w:val="003113E2"/>
    <w:rsid w:val="00320559"/>
    <w:rsid w:val="0032473F"/>
    <w:rsid w:val="00332DD4"/>
    <w:rsid w:val="003332F5"/>
    <w:rsid w:val="00343BA0"/>
    <w:rsid w:val="003451AD"/>
    <w:rsid w:val="0034758A"/>
    <w:rsid w:val="003527D9"/>
    <w:rsid w:val="00354901"/>
    <w:rsid w:val="00360B03"/>
    <w:rsid w:val="0036123A"/>
    <w:rsid w:val="0036273F"/>
    <w:rsid w:val="00365D92"/>
    <w:rsid w:val="00365DAA"/>
    <w:rsid w:val="00366447"/>
    <w:rsid w:val="0037033A"/>
    <w:rsid w:val="00371848"/>
    <w:rsid w:val="00372919"/>
    <w:rsid w:val="00374F77"/>
    <w:rsid w:val="0037545E"/>
    <w:rsid w:val="00376052"/>
    <w:rsid w:val="00376CF0"/>
    <w:rsid w:val="00380121"/>
    <w:rsid w:val="0038318F"/>
    <w:rsid w:val="00385778"/>
    <w:rsid w:val="003876F1"/>
    <w:rsid w:val="00390376"/>
    <w:rsid w:val="00391291"/>
    <w:rsid w:val="0039407C"/>
    <w:rsid w:val="003A193B"/>
    <w:rsid w:val="003A65BD"/>
    <w:rsid w:val="003C1872"/>
    <w:rsid w:val="003C71A4"/>
    <w:rsid w:val="003C71FE"/>
    <w:rsid w:val="003C7C18"/>
    <w:rsid w:val="003D42CE"/>
    <w:rsid w:val="003D7D49"/>
    <w:rsid w:val="003E28A8"/>
    <w:rsid w:val="003E39A5"/>
    <w:rsid w:val="003E3DEB"/>
    <w:rsid w:val="003E65E5"/>
    <w:rsid w:val="003F2C92"/>
    <w:rsid w:val="003F4091"/>
    <w:rsid w:val="003F42D5"/>
    <w:rsid w:val="003F4866"/>
    <w:rsid w:val="003F496E"/>
    <w:rsid w:val="003F78E6"/>
    <w:rsid w:val="004028E0"/>
    <w:rsid w:val="00402E79"/>
    <w:rsid w:val="0040342D"/>
    <w:rsid w:val="00406CE7"/>
    <w:rsid w:val="00410802"/>
    <w:rsid w:val="0041178E"/>
    <w:rsid w:val="004252BF"/>
    <w:rsid w:val="004376E8"/>
    <w:rsid w:val="004379D7"/>
    <w:rsid w:val="004448DC"/>
    <w:rsid w:val="00452D43"/>
    <w:rsid w:val="00461798"/>
    <w:rsid w:val="0046535B"/>
    <w:rsid w:val="00471B3C"/>
    <w:rsid w:val="00471ED4"/>
    <w:rsid w:val="00473109"/>
    <w:rsid w:val="00483B1D"/>
    <w:rsid w:val="00490CE7"/>
    <w:rsid w:val="00494A0F"/>
    <w:rsid w:val="004970EE"/>
    <w:rsid w:val="004B2D7C"/>
    <w:rsid w:val="004B31B6"/>
    <w:rsid w:val="004B7246"/>
    <w:rsid w:val="004C1B25"/>
    <w:rsid w:val="004C4128"/>
    <w:rsid w:val="004C4759"/>
    <w:rsid w:val="004C498C"/>
    <w:rsid w:val="004C74EF"/>
    <w:rsid w:val="004D4226"/>
    <w:rsid w:val="004D424D"/>
    <w:rsid w:val="004D4B70"/>
    <w:rsid w:val="004D5B7A"/>
    <w:rsid w:val="004E009F"/>
    <w:rsid w:val="004E15AC"/>
    <w:rsid w:val="004E31B3"/>
    <w:rsid w:val="004E50F3"/>
    <w:rsid w:val="004F375D"/>
    <w:rsid w:val="004F3897"/>
    <w:rsid w:val="005043E3"/>
    <w:rsid w:val="00504910"/>
    <w:rsid w:val="00505DA2"/>
    <w:rsid w:val="005127A0"/>
    <w:rsid w:val="00512ACD"/>
    <w:rsid w:val="0051386F"/>
    <w:rsid w:val="00516EDC"/>
    <w:rsid w:val="0052108C"/>
    <w:rsid w:val="00525119"/>
    <w:rsid w:val="00526E17"/>
    <w:rsid w:val="005332E6"/>
    <w:rsid w:val="00535BF6"/>
    <w:rsid w:val="00540DA0"/>
    <w:rsid w:val="00546F71"/>
    <w:rsid w:val="0054715E"/>
    <w:rsid w:val="00551D0D"/>
    <w:rsid w:val="0055215F"/>
    <w:rsid w:val="005529A2"/>
    <w:rsid w:val="0055372A"/>
    <w:rsid w:val="00553CB2"/>
    <w:rsid w:val="00563576"/>
    <w:rsid w:val="005646B4"/>
    <w:rsid w:val="0056792D"/>
    <w:rsid w:val="00570018"/>
    <w:rsid w:val="00576460"/>
    <w:rsid w:val="0057674A"/>
    <w:rsid w:val="00580FD1"/>
    <w:rsid w:val="005853DF"/>
    <w:rsid w:val="00591DB5"/>
    <w:rsid w:val="005930AD"/>
    <w:rsid w:val="00593614"/>
    <w:rsid w:val="005A0081"/>
    <w:rsid w:val="005A2CB0"/>
    <w:rsid w:val="005A32A6"/>
    <w:rsid w:val="005A387F"/>
    <w:rsid w:val="005A47DD"/>
    <w:rsid w:val="005B0726"/>
    <w:rsid w:val="005B7525"/>
    <w:rsid w:val="005C0225"/>
    <w:rsid w:val="005C33FC"/>
    <w:rsid w:val="005D0F28"/>
    <w:rsid w:val="005D42F5"/>
    <w:rsid w:val="005D5DF6"/>
    <w:rsid w:val="005E3839"/>
    <w:rsid w:val="005F0891"/>
    <w:rsid w:val="005F6081"/>
    <w:rsid w:val="0060430E"/>
    <w:rsid w:val="00612017"/>
    <w:rsid w:val="0061352F"/>
    <w:rsid w:val="006231FE"/>
    <w:rsid w:val="0063063B"/>
    <w:rsid w:val="00631502"/>
    <w:rsid w:val="00632CD9"/>
    <w:rsid w:val="006449C8"/>
    <w:rsid w:val="00647A8C"/>
    <w:rsid w:val="00655353"/>
    <w:rsid w:val="00661484"/>
    <w:rsid w:val="00674AE5"/>
    <w:rsid w:val="00681CC3"/>
    <w:rsid w:val="00682081"/>
    <w:rsid w:val="00683C2B"/>
    <w:rsid w:val="006847BB"/>
    <w:rsid w:val="006902DF"/>
    <w:rsid w:val="006921AD"/>
    <w:rsid w:val="00696AC7"/>
    <w:rsid w:val="006A2407"/>
    <w:rsid w:val="006A3903"/>
    <w:rsid w:val="006A7C2D"/>
    <w:rsid w:val="006B0544"/>
    <w:rsid w:val="006B1B8C"/>
    <w:rsid w:val="006C41DD"/>
    <w:rsid w:val="006D058F"/>
    <w:rsid w:val="006D0622"/>
    <w:rsid w:val="006E15C0"/>
    <w:rsid w:val="006E1D3F"/>
    <w:rsid w:val="006E605E"/>
    <w:rsid w:val="006E61F9"/>
    <w:rsid w:val="006F2E33"/>
    <w:rsid w:val="006F4ED9"/>
    <w:rsid w:val="006F77AD"/>
    <w:rsid w:val="00700BE9"/>
    <w:rsid w:val="00702FB1"/>
    <w:rsid w:val="0070516E"/>
    <w:rsid w:val="00716FF6"/>
    <w:rsid w:val="0072257B"/>
    <w:rsid w:val="007234C6"/>
    <w:rsid w:val="00727338"/>
    <w:rsid w:val="0073089F"/>
    <w:rsid w:val="00732BB1"/>
    <w:rsid w:val="00733C41"/>
    <w:rsid w:val="0073482F"/>
    <w:rsid w:val="00736235"/>
    <w:rsid w:val="00745268"/>
    <w:rsid w:val="007465A6"/>
    <w:rsid w:val="00752C0E"/>
    <w:rsid w:val="007532A7"/>
    <w:rsid w:val="0075506E"/>
    <w:rsid w:val="00756B1C"/>
    <w:rsid w:val="007615F3"/>
    <w:rsid w:val="007626E8"/>
    <w:rsid w:val="00770D49"/>
    <w:rsid w:val="00783CC5"/>
    <w:rsid w:val="0078620D"/>
    <w:rsid w:val="00790231"/>
    <w:rsid w:val="00791701"/>
    <w:rsid w:val="00793F0B"/>
    <w:rsid w:val="0079426A"/>
    <w:rsid w:val="00797FE3"/>
    <w:rsid w:val="007A41FB"/>
    <w:rsid w:val="007B01FF"/>
    <w:rsid w:val="007B0A2A"/>
    <w:rsid w:val="007B2F3D"/>
    <w:rsid w:val="007B35D6"/>
    <w:rsid w:val="007B64E5"/>
    <w:rsid w:val="007B6CDB"/>
    <w:rsid w:val="007C044C"/>
    <w:rsid w:val="007D0454"/>
    <w:rsid w:val="007D3C68"/>
    <w:rsid w:val="007E34DC"/>
    <w:rsid w:val="007F156F"/>
    <w:rsid w:val="007F263E"/>
    <w:rsid w:val="007F3D7E"/>
    <w:rsid w:val="007F7390"/>
    <w:rsid w:val="00801EC3"/>
    <w:rsid w:val="00803777"/>
    <w:rsid w:val="008069B2"/>
    <w:rsid w:val="00812E69"/>
    <w:rsid w:val="0081355F"/>
    <w:rsid w:val="008166F6"/>
    <w:rsid w:val="00821DE7"/>
    <w:rsid w:val="00833727"/>
    <w:rsid w:val="008348A5"/>
    <w:rsid w:val="00835380"/>
    <w:rsid w:val="00843A7C"/>
    <w:rsid w:val="00846708"/>
    <w:rsid w:val="008508B4"/>
    <w:rsid w:val="0085797D"/>
    <w:rsid w:val="00861B93"/>
    <w:rsid w:val="008656BD"/>
    <w:rsid w:val="008715D0"/>
    <w:rsid w:val="008729AF"/>
    <w:rsid w:val="0087790C"/>
    <w:rsid w:val="00881323"/>
    <w:rsid w:val="00882A14"/>
    <w:rsid w:val="00884765"/>
    <w:rsid w:val="008B271F"/>
    <w:rsid w:val="008B4EA6"/>
    <w:rsid w:val="008B558B"/>
    <w:rsid w:val="008B7F05"/>
    <w:rsid w:val="008C5FC6"/>
    <w:rsid w:val="008F1359"/>
    <w:rsid w:val="008F2508"/>
    <w:rsid w:val="008F3A80"/>
    <w:rsid w:val="009159B1"/>
    <w:rsid w:val="00923397"/>
    <w:rsid w:val="0093276B"/>
    <w:rsid w:val="0093669A"/>
    <w:rsid w:val="00953E6F"/>
    <w:rsid w:val="00972155"/>
    <w:rsid w:val="009724D2"/>
    <w:rsid w:val="00976799"/>
    <w:rsid w:val="009803A2"/>
    <w:rsid w:val="009820AE"/>
    <w:rsid w:val="0098406B"/>
    <w:rsid w:val="009874F7"/>
    <w:rsid w:val="009A4377"/>
    <w:rsid w:val="009C21EF"/>
    <w:rsid w:val="009D0C95"/>
    <w:rsid w:val="009D6444"/>
    <w:rsid w:val="009E0457"/>
    <w:rsid w:val="009E31D9"/>
    <w:rsid w:val="009E55D3"/>
    <w:rsid w:val="009F02DD"/>
    <w:rsid w:val="009F4410"/>
    <w:rsid w:val="00A00242"/>
    <w:rsid w:val="00A0523B"/>
    <w:rsid w:val="00A060CC"/>
    <w:rsid w:val="00A122E5"/>
    <w:rsid w:val="00A14486"/>
    <w:rsid w:val="00A22664"/>
    <w:rsid w:val="00A2730E"/>
    <w:rsid w:val="00A443C9"/>
    <w:rsid w:val="00A47807"/>
    <w:rsid w:val="00A538BD"/>
    <w:rsid w:val="00A56B27"/>
    <w:rsid w:val="00A600D6"/>
    <w:rsid w:val="00A62B19"/>
    <w:rsid w:val="00A63E82"/>
    <w:rsid w:val="00A676CF"/>
    <w:rsid w:val="00A737AF"/>
    <w:rsid w:val="00A75A22"/>
    <w:rsid w:val="00A76AB9"/>
    <w:rsid w:val="00A80426"/>
    <w:rsid w:val="00A9362C"/>
    <w:rsid w:val="00A93B52"/>
    <w:rsid w:val="00A94001"/>
    <w:rsid w:val="00A97EAC"/>
    <w:rsid w:val="00AB15FA"/>
    <w:rsid w:val="00AB5DE3"/>
    <w:rsid w:val="00AC3AF0"/>
    <w:rsid w:val="00AC505B"/>
    <w:rsid w:val="00AC666E"/>
    <w:rsid w:val="00AD0120"/>
    <w:rsid w:val="00AD05C9"/>
    <w:rsid w:val="00AE56EB"/>
    <w:rsid w:val="00B03D26"/>
    <w:rsid w:val="00B12118"/>
    <w:rsid w:val="00B133BB"/>
    <w:rsid w:val="00B14698"/>
    <w:rsid w:val="00B175FE"/>
    <w:rsid w:val="00B33BCC"/>
    <w:rsid w:val="00B464AC"/>
    <w:rsid w:val="00B55D3E"/>
    <w:rsid w:val="00B5742E"/>
    <w:rsid w:val="00B6076F"/>
    <w:rsid w:val="00B66779"/>
    <w:rsid w:val="00B67BD3"/>
    <w:rsid w:val="00B7592A"/>
    <w:rsid w:val="00B75966"/>
    <w:rsid w:val="00B80E25"/>
    <w:rsid w:val="00B83777"/>
    <w:rsid w:val="00B84B0B"/>
    <w:rsid w:val="00B85228"/>
    <w:rsid w:val="00B87AA2"/>
    <w:rsid w:val="00B94704"/>
    <w:rsid w:val="00BA085F"/>
    <w:rsid w:val="00BA11AC"/>
    <w:rsid w:val="00BA3E27"/>
    <w:rsid w:val="00BB1796"/>
    <w:rsid w:val="00BB563F"/>
    <w:rsid w:val="00BB7023"/>
    <w:rsid w:val="00BC6CD8"/>
    <w:rsid w:val="00BD0169"/>
    <w:rsid w:val="00BD49FE"/>
    <w:rsid w:val="00BD54D9"/>
    <w:rsid w:val="00BE61E2"/>
    <w:rsid w:val="00BF0642"/>
    <w:rsid w:val="00C0327B"/>
    <w:rsid w:val="00C1199F"/>
    <w:rsid w:val="00C12996"/>
    <w:rsid w:val="00C155D7"/>
    <w:rsid w:val="00C20E03"/>
    <w:rsid w:val="00C21B78"/>
    <w:rsid w:val="00C2306C"/>
    <w:rsid w:val="00C24E3A"/>
    <w:rsid w:val="00C37351"/>
    <w:rsid w:val="00C37848"/>
    <w:rsid w:val="00C41D6A"/>
    <w:rsid w:val="00C45485"/>
    <w:rsid w:val="00C46D10"/>
    <w:rsid w:val="00C47C72"/>
    <w:rsid w:val="00C521A3"/>
    <w:rsid w:val="00C52980"/>
    <w:rsid w:val="00C53D46"/>
    <w:rsid w:val="00C64BE2"/>
    <w:rsid w:val="00C76583"/>
    <w:rsid w:val="00C83AA7"/>
    <w:rsid w:val="00C8444C"/>
    <w:rsid w:val="00C861B8"/>
    <w:rsid w:val="00C86E48"/>
    <w:rsid w:val="00C92890"/>
    <w:rsid w:val="00C93844"/>
    <w:rsid w:val="00C97D81"/>
    <w:rsid w:val="00CA7346"/>
    <w:rsid w:val="00CA7368"/>
    <w:rsid w:val="00CB345A"/>
    <w:rsid w:val="00CC0873"/>
    <w:rsid w:val="00CC47BE"/>
    <w:rsid w:val="00CC61AF"/>
    <w:rsid w:val="00CD77D5"/>
    <w:rsid w:val="00CD7926"/>
    <w:rsid w:val="00CE4EE7"/>
    <w:rsid w:val="00D06D76"/>
    <w:rsid w:val="00D11D9B"/>
    <w:rsid w:val="00D23DDE"/>
    <w:rsid w:val="00D53721"/>
    <w:rsid w:val="00D654B5"/>
    <w:rsid w:val="00D74497"/>
    <w:rsid w:val="00D92D7E"/>
    <w:rsid w:val="00DA3C7C"/>
    <w:rsid w:val="00DA464C"/>
    <w:rsid w:val="00DB1449"/>
    <w:rsid w:val="00DB5258"/>
    <w:rsid w:val="00DD3641"/>
    <w:rsid w:val="00DD3B2F"/>
    <w:rsid w:val="00DD414D"/>
    <w:rsid w:val="00DD510B"/>
    <w:rsid w:val="00DD67DF"/>
    <w:rsid w:val="00DE1DF8"/>
    <w:rsid w:val="00DE33F5"/>
    <w:rsid w:val="00DE58D7"/>
    <w:rsid w:val="00DF66EE"/>
    <w:rsid w:val="00E1104C"/>
    <w:rsid w:val="00E12F02"/>
    <w:rsid w:val="00E131D0"/>
    <w:rsid w:val="00E30A4A"/>
    <w:rsid w:val="00E32F84"/>
    <w:rsid w:val="00E3418F"/>
    <w:rsid w:val="00E34639"/>
    <w:rsid w:val="00E36072"/>
    <w:rsid w:val="00E51FF0"/>
    <w:rsid w:val="00E5309A"/>
    <w:rsid w:val="00E542E6"/>
    <w:rsid w:val="00E54DCE"/>
    <w:rsid w:val="00E55575"/>
    <w:rsid w:val="00E57C4A"/>
    <w:rsid w:val="00E60B68"/>
    <w:rsid w:val="00E63747"/>
    <w:rsid w:val="00E6696E"/>
    <w:rsid w:val="00E70281"/>
    <w:rsid w:val="00E82F41"/>
    <w:rsid w:val="00E85D39"/>
    <w:rsid w:val="00E87BBD"/>
    <w:rsid w:val="00E92B0A"/>
    <w:rsid w:val="00E96CFC"/>
    <w:rsid w:val="00EA0040"/>
    <w:rsid w:val="00EA0917"/>
    <w:rsid w:val="00EA220E"/>
    <w:rsid w:val="00EA3017"/>
    <w:rsid w:val="00EA4A9A"/>
    <w:rsid w:val="00EA7EBA"/>
    <w:rsid w:val="00EC1356"/>
    <w:rsid w:val="00EC55C3"/>
    <w:rsid w:val="00EC67EF"/>
    <w:rsid w:val="00EC7367"/>
    <w:rsid w:val="00EE05E4"/>
    <w:rsid w:val="00EE15A8"/>
    <w:rsid w:val="00EF32C5"/>
    <w:rsid w:val="00EF3807"/>
    <w:rsid w:val="00F00502"/>
    <w:rsid w:val="00F026EF"/>
    <w:rsid w:val="00F05182"/>
    <w:rsid w:val="00F061B7"/>
    <w:rsid w:val="00F107F5"/>
    <w:rsid w:val="00F128E2"/>
    <w:rsid w:val="00F13820"/>
    <w:rsid w:val="00F150D3"/>
    <w:rsid w:val="00F17044"/>
    <w:rsid w:val="00F25559"/>
    <w:rsid w:val="00F26931"/>
    <w:rsid w:val="00F27E7E"/>
    <w:rsid w:val="00F3503D"/>
    <w:rsid w:val="00F37390"/>
    <w:rsid w:val="00F44529"/>
    <w:rsid w:val="00F46A6C"/>
    <w:rsid w:val="00F53EFA"/>
    <w:rsid w:val="00F549FE"/>
    <w:rsid w:val="00F6197D"/>
    <w:rsid w:val="00F61AEA"/>
    <w:rsid w:val="00F7031A"/>
    <w:rsid w:val="00F7512C"/>
    <w:rsid w:val="00F81C98"/>
    <w:rsid w:val="00F87BCC"/>
    <w:rsid w:val="00F9334E"/>
    <w:rsid w:val="00FA1486"/>
    <w:rsid w:val="00FA1DAB"/>
    <w:rsid w:val="00FA1E1C"/>
    <w:rsid w:val="00FA6DBE"/>
    <w:rsid w:val="00FC0AEF"/>
    <w:rsid w:val="00FC4BDB"/>
    <w:rsid w:val="00FC61D9"/>
    <w:rsid w:val="00FD24D9"/>
    <w:rsid w:val="00FD5A3E"/>
    <w:rsid w:val="00FD7BDA"/>
    <w:rsid w:val="00FE0092"/>
    <w:rsid w:val="00FE05C0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C5312"/>
  <w15:chartTrackingRefBased/>
  <w15:docId w15:val="{93AEE843-28F1-2B40-9D9C-6BA9BCC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6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9042F"/>
    <w:pPr>
      <w:ind w:left="720"/>
      <w:contextualSpacing/>
    </w:pPr>
  </w:style>
  <w:style w:type="character" w:styleId="Strong">
    <w:name w:val="Strong"/>
    <w:uiPriority w:val="22"/>
    <w:qFormat/>
    <w:rsid w:val="00835380"/>
    <w:rPr>
      <w:b/>
      <w:bCs/>
    </w:rPr>
  </w:style>
  <w:style w:type="character" w:customStyle="1" w:styleId="HeaderChar">
    <w:name w:val="Header Char"/>
    <w:link w:val="Header"/>
    <w:rsid w:val="00B94704"/>
    <w:rPr>
      <w:sz w:val="24"/>
      <w:szCs w:val="24"/>
    </w:rPr>
  </w:style>
  <w:style w:type="paragraph" w:customStyle="1" w:styleId="Default">
    <w:name w:val="Default"/>
    <w:link w:val="DefaultChar"/>
    <w:rsid w:val="008B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223B1F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448DC"/>
  </w:style>
  <w:style w:type="paragraph" w:styleId="Revision">
    <w:name w:val="Revision"/>
    <w:hidden/>
    <w:uiPriority w:val="99"/>
    <w:semiHidden/>
    <w:rsid w:val="00035143"/>
    <w:rPr>
      <w:sz w:val="24"/>
      <w:szCs w:val="24"/>
      <w:lang w:eastAsia="en-US"/>
    </w:rPr>
  </w:style>
  <w:style w:type="table" w:styleId="TableGrid">
    <w:name w:val="Table Grid"/>
    <w:basedOn w:val="TableNormal"/>
    <w:rsid w:val="00C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60DF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1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scatalog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bi.ac.uk/gwas/downloads/summary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D74DD-00D2-A54B-9399-8C1D11C7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https://www.pgscatalog.org/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whuggins</dc:creator>
  <cp:keywords/>
  <dc:description/>
  <cp:lastModifiedBy>Nelms, Mark</cp:lastModifiedBy>
  <cp:revision>9</cp:revision>
  <cp:lastPrinted>2009-03-24T19:13:00Z</cp:lastPrinted>
  <dcterms:created xsi:type="dcterms:W3CDTF">2021-08-11T13:19:00Z</dcterms:created>
  <dcterms:modified xsi:type="dcterms:W3CDTF">2022-01-06T19:46:00Z</dcterms:modified>
</cp:coreProperties>
</file>