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Speech and Hearing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Pitch Perception Deficit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a sound test to assess the respondent’s ability to identify incorrect notes in a melody.</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lang w:val="en"/>
              </w:rPr>
              <w:t>This protocol is a self-administered version of the Distorted Tunes Test (DTT). The respondent listens to a series of excerpts from well-known tunes, some of which have been distorted by changing various notes' pitch. The respondent is asked to judge whether each tune is played correctly or incorrectly. The DTT is available by compact disc or as a web-based test. For the version on compact disc, answers are recorded on a paper form. In the web-based version, the browser records the answers and scores the test.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rPr>
            </w:pPr>
            <w:r>
              <w:rPr>
                <w:rFonts w:cs="Arial" w:ascii="Arial" w:hAnsi="Arial"/>
                <w:b/>
                <w:bCs/>
                <w:sz w:val="22"/>
                <w:szCs w:val="22"/>
              </w:rPr>
              <w:t>Summary of the Distorted Tunes Test</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 xml:space="preserve">The respondent listens to 26 musical clips of well-known tunes. At the end of each tune, the respondent indicates whether or not the tune was correct or incorrect.  </w:t>
            </w:r>
          </w:p>
          <w:p>
            <w:pPr>
              <w:pStyle w:val="Normal"/>
              <w:rPr>
                <w:rFonts w:ascii="Arial" w:hAnsi="Arial" w:cs="Arial"/>
                <w:sz w:val="22"/>
                <w:szCs w:val="22"/>
                <w:lang w:val="en"/>
              </w:rPr>
            </w:pPr>
            <w:r>
              <w:rPr>
                <w:rFonts w:cs="Arial" w:ascii="Arial" w:hAnsi="Arial"/>
                <w:sz w:val="22"/>
                <w:szCs w:val="22"/>
                <w:lang w:val="en"/>
              </w:rPr>
            </w:r>
          </w:p>
          <w:tbl>
            <w:tblPr>
              <w:tblW w:w="6768" w:type="dxa"/>
              <w:jc w:val="left"/>
              <w:tblInd w:w="0" w:type="dxa"/>
              <w:tblLayout w:type="fixed"/>
              <w:tblCellMar>
                <w:top w:w="0" w:type="dxa"/>
                <w:left w:w="108" w:type="dxa"/>
                <w:bottom w:w="0" w:type="dxa"/>
                <w:right w:w="108" w:type="dxa"/>
              </w:tblCellMar>
            </w:tblPr>
            <w:tblGrid>
              <w:gridCol w:w="1584"/>
              <w:gridCol w:w="1296"/>
              <w:gridCol w:w="1296"/>
              <w:gridCol w:w="1296"/>
              <w:gridCol w:w="1296"/>
            </w:tblGrid>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b/>
                      <w:b/>
                      <w:bCs/>
                      <w:sz w:val="20"/>
                      <w:szCs w:val="20"/>
                    </w:rPr>
                  </w:pPr>
                  <w:r>
                    <w:rPr>
                      <w:rFonts w:cs="Trebuchet MS" w:ascii="Trebuchet MS" w:hAnsi="Trebuchet MS"/>
                      <w:b/>
                      <w:bCs/>
                      <w:sz w:val="20"/>
                      <w:szCs w:val="20"/>
                    </w:rPr>
                    <w:t>Item</w:t>
                  </w:r>
                </w:p>
              </w:tc>
              <w:tc>
                <w:tcPr>
                  <w:tcW w:w="2592"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b/>
                      <w:b/>
                      <w:bCs/>
                      <w:sz w:val="20"/>
                      <w:szCs w:val="20"/>
                    </w:rPr>
                  </w:pPr>
                  <w:r>
                    <w:rPr>
                      <w:rFonts w:cs="Trebuchet MS" w:ascii="Trebuchet MS" w:hAnsi="Trebuchet MS"/>
                      <w:b/>
                      <w:bCs/>
                      <w:sz w:val="20"/>
                      <w:szCs w:val="20"/>
                    </w:rPr>
                    <w:t>Correctness</w:t>
                  </w:r>
                </w:p>
              </w:tc>
              <w:tc>
                <w:tcPr>
                  <w:tcW w:w="2592"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b/>
                      <w:b/>
                      <w:bCs/>
                      <w:sz w:val="20"/>
                      <w:szCs w:val="20"/>
                    </w:rPr>
                  </w:pPr>
                  <w:r>
                    <w:rPr>
                      <w:rFonts w:cs="Trebuchet MS" w:ascii="Trebuchet MS" w:hAnsi="Trebuchet MS"/>
                      <w:b/>
                      <w:bCs/>
                      <w:sz w:val="20"/>
                      <w:szCs w:val="20"/>
                    </w:rPr>
                    <w:t>Familiarity</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rebuchet MS" w:hAnsi="Trebuchet MS" w:cs="Trebuchet MS"/>
                      <w:b/>
                      <w:b/>
                      <w:bCs/>
                      <w:sz w:val="20"/>
                      <w:szCs w:val="20"/>
                    </w:rPr>
                  </w:pPr>
                  <w:r>
                    <w:rPr>
                      <w:rFonts w:cs="Trebuchet MS" w:ascii="Trebuchet MS" w:hAnsi="Trebuchet MS"/>
                      <w:b/>
                      <w:bCs/>
                      <w:sz w:val="20"/>
                      <w:szCs w:val="20"/>
                    </w:rPr>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Correct</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Incorrect</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Familiar</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Unfamiliar</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Demonstration</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3</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4</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5</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6</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7</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8</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9</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10</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11</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12</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13</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14</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15</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16</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17</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18</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19</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20</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21</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22</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23</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24</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25</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r>
              <w:trPr/>
              <w:tc>
                <w:tcPr>
                  <w:tcW w:w="1584" w:type="dxa"/>
                  <w:tcBorders>
                    <w:top w:val="single" w:sz="4" w:space="0" w:color="000000"/>
                    <w:left w:val="single" w:sz="4" w:space="0" w:color="000000"/>
                    <w:bottom w:val="single" w:sz="4" w:space="0" w:color="000000"/>
                    <w:right w:val="single" w:sz="4" w:space="0" w:color="000000"/>
                  </w:tcBorders>
                </w:tcPr>
                <w:p>
                  <w:pPr>
                    <w:pStyle w:val="Normal"/>
                    <w:rPr>
                      <w:rFonts w:ascii="Trebuchet MS" w:hAnsi="Trebuchet MS" w:cs="Trebuchet MS"/>
                      <w:sz w:val="20"/>
                      <w:szCs w:val="20"/>
                    </w:rPr>
                  </w:pPr>
                  <w:r>
                    <w:rPr>
                      <w:rFonts w:cs="Trebuchet MS" w:ascii="Trebuchet MS" w:hAnsi="Trebuchet MS"/>
                      <w:sz w:val="20"/>
                      <w:szCs w:val="20"/>
                    </w:rPr>
                    <w:t>Tune 26</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c>
                <w:tcPr>
                  <w:tcW w:w="1296" w:type="dxa"/>
                  <w:tcBorders>
                    <w:top w:val="single" w:sz="4" w:space="0" w:color="000000"/>
                    <w:left w:val="single" w:sz="4" w:space="0" w:color="000000"/>
                    <w:bottom w:val="single" w:sz="4" w:space="0" w:color="000000"/>
                    <w:right w:val="single" w:sz="4" w:space="0" w:color="000000"/>
                  </w:tcBorders>
                </w:tcPr>
                <w:p>
                  <w:pPr>
                    <w:pStyle w:val="Normal"/>
                    <w:jc w:val="center"/>
                    <w:rPr>
                      <w:rFonts w:ascii="Trebuchet MS" w:hAnsi="Trebuchet MS" w:cs="Trebuchet MS"/>
                      <w:sz w:val="20"/>
                      <w:szCs w:val="20"/>
                    </w:rPr>
                  </w:pPr>
                  <w:r>
                    <w:rPr>
                      <w:rFonts w:cs="Trebuchet MS" w:ascii="Trebuchet MS" w:hAnsi="Trebuchet MS"/>
                      <w:sz w:val="20"/>
                      <w:szCs w:val="20"/>
                    </w:rPr>
                    <w:t>[ ]</w:t>
                  </w:r>
                </w:p>
              </w:tc>
            </w:tr>
          </w:tbl>
          <w:p>
            <w:pPr>
              <w:pStyle w:val="Normal"/>
              <w:rPr>
                <w:rFonts w:ascii="Arial" w:hAnsi="Arial" w:cs="Arial"/>
                <w:sz w:val="22"/>
                <w:szCs w:val="22"/>
                <w:lang w:val="en"/>
              </w:rPr>
            </w:pPr>
            <w:r>
              <w:rPr>
                <w:rFonts w:cs="Arial" w:ascii="Arial" w:hAnsi="Arial"/>
                <w:sz w:val="22"/>
                <w:szCs w:val="22"/>
                <w:lang w:val="en"/>
              </w:rPr>
            </w:r>
          </w:p>
          <w:p>
            <w:pPr>
              <w:pStyle w:val="Normal"/>
              <w:rPr>
                <w:rFonts w:ascii="Arial" w:hAnsi="Arial" w:cs="Arial"/>
                <w:sz w:val="22"/>
                <w:szCs w:val="22"/>
                <w:lang w:val="en"/>
              </w:rPr>
            </w:pPr>
            <w:r>
              <w:rPr>
                <w:rFonts w:cs="Arial" w:ascii="Arial" w:hAnsi="Arial"/>
                <w:sz w:val="22"/>
                <w:szCs w:val="22"/>
                <w:lang w:val="en"/>
              </w:rPr>
            </w:r>
          </w:p>
          <w:p>
            <w:pPr>
              <w:pStyle w:val="Normal"/>
              <w:rPr>
                <w:rFonts w:ascii="Arial" w:hAnsi="Arial" w:cs="Arial"/>
                <w:sz w:val="22"/>
                <w:szCs w:val="22"/>
                <w:lang w:val="en"/>
              </w:rPr>
            </w:pPr>
            <w:r>
              <w:rPr>
                <w:rFonts w:cs="Arial" w:ascii="Arial" w:hAnsi="Arial"/>
                <w:sz w:val="22"/>
                <w:szCs w:val="22"/>
                <w:lang w:val="en"/>
              </w:rPr>
            </w:r>
          </w:p>
          <w:p>
            <w:pPr>
              <w:pStyle w:val="Normal"/>
              <w:rPr>
                <w:rFonts w:ascii="Arial" w:hAnsi="Arial" w:cs="Arial"/>
                <w:b/>
                <w:b/>
                <w:bCs/>
                <w:sz w:val="22"/>
                <w:szCs w:val="22"/>
                <w:lang w:val="en"/>
              </w:rPr>
            </w:pPr>
            <w:r>
              <w:rPr>
                <w:rFonts w:cs="Arial" w:ascii="Arial" w:hAnsi="Arial"/>
                <w:b/>
                <w:bCs/>
                <w:sz w:val="22"/>
                <w:szCs w:val="22"/>
                <w:lang w:val="en"/>
              </w:rPr>
              <w:t xml:space="preserve">Scoring </w:t>
            </w:r>
          </w:p>
          <w:p>
            <w:pPr>
              <w:pStyle w:val="Normal"/>
              <w:rPr/>
            </w:pPr>
            <w:r>
              <w:rPr>
                <w:rFonts w:cs="Arial" w:ascii="Arial" w:hAnsi="Arial"/>
                <w:sz w:val="22"/>
                <w:szCs w:val="22"/>
                <w:lang w:val="en"/>
              </w:rPr>
              <w:t>Scores range from 1–26, indicating the number of correct answers on the Distorted Tunes Test. In practice, random guessing will produce a score of 13, so the scale generally extends from 13–26, although there is occasionally a score &lt; 13. There is no evidence that such scores are anything less than statistical variation in chance performance. Scores of 24, 25, and 26 are considered normal. Scores of 18 or less (the 10</w:t>
            </w:r>
            <w:r>
              <w:rPr>
                <w:rFonts w:cs="Arial" w:ascii="Arial" w:hAnsi="Arial"/>
                <w:sz w:val="22"/>
                <w:szCs w:val="22"/>
                <w:vertAlign w:val="superscript"/>
                <w:lang w:val="en"/>
              </w:rPr>
              <w:t>th</w:t>
            </w:r>
            <w:r>
              <w:rPr>
                <w:rFonts w:cs="Arial" w:ascii="Arial" w:hAnsi="Arial"/>
                <w:sz w:val="22"/>
                <w:szCs w:val="22"/>
                <w:lang w:val="en"/>
              </w:rPr>
              <w:t xml:space="preserve"> percentile of the distribution) are considered tune deaf.  </w:t>
            </w:r>
          </w:p>
          <w:p>
            <w:pPr>
              <w:pStyle w:val="Normal"/>
              <w:rPr>
                <w:rFonts w:ascii="Arial" w:hAnsi="Arial" w:cs="Arial"/>
                <w:sz w:val="22"/>
                <w:szCs w:val="22"/>
                <w:lang w:val="en"/>
              </w:rPr>
            </w:pPr>
            <w:r>
              <w:rPr>
                <w:rFonts w:cs="Arial" w:ascii="Arial" w:hAnsi="Arial"/>
                <w:sz w:val="22"/>
                <w:szCs w:val="22"/>
                <w:lang w:val="en"/>
              </w:rPr>
            </w:r>
          </w:p>
          <w:p>
            <w:pPr>
              <w:pStyle w:val="Normal"/>
              <w:spacing w:before="0" w:after="0"/>
              <w:contextualSpacing/>
              <w:rPr>
                <w:rFonts w:ascii="Arial" w:hAnsi="Arial" w:cs="Arial"/>
                <w:sz w:val="22"/>
                <w:szCs w:val="22"/>
              </w:rPr>
            </w:pPr>
            <w:r>
              <w:rPr>
                <w:rFonts w:cs="Arial" w:ascii="Arial" w:hAnsi="Arial"/>
                <w:sz w:val="22"/>
                <w:szCs w:val="22"/>
                <w:lang w:val="en"/>
              </w:rPr>
              <w:t>Distorted Tunes Test reproduced courtesy of Dennis T. Drayna, National Institute on Deafness and Other Communication Disorders, National Institutes of Health, Department of Health and Human Services.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Adolescents and adults, ages 16 years or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lang w:val="en"/>
              </w:rPr>
            </w:pPr>
            <w:r>
              <w:rPr>
                <w:rFonts w:cs="Arial" w:ascii="Arial" w:hAnsi="Arial"/>
                <w:sz w:val="22"/>
                <w:szCs w:val="22"/>
                <w:lang w:val="en"/>
              </w:rPr>
              <w:t xml:space="preserve">Kalmus, H., &amp; Fry, D. B. (1980). On tune deafness (dysmelodia): Frequency, development, genetics and musical background. </w:t>
            </w:r>
            <w:r>
              <w:rPr>
                <w:rFonts w:cs="Arial" w:ascii="Arial" w:hAnsi="Arial"/>
                <w:i/>
                <w:iCs/>
                <w:sz w:val="22"/>
                <w:szCs w:val="22"/>
                <w:lang w:val="en"/>
              </w:rPr>
              <w:t>Annals of Human Genetics, 43</w:t>
            </w:r>
            <w:r>
              <w:rPr>
                <w:rFonts w:cs="Arial" w:ascii="Arial" w:hAnsi="Arial"/>
                <w:sz w:val="22"/>
                <w:szCs w:val="22"/>
                <w:lang w:val="en"/>
              </w:rPr>
              <w:t xml:space="preserve">, 369–382. </w:t>
            </w:r>
          </w:p>
          <w:p>
            <w:pPr>
              <w:pStyle w:val="Normal"/>
              <w:autoSpaceDE w:val="false"/>
              <w:rPr/>
            </w:pPr>
            <w:r>
              <w:rPr>
                <w:rFonts w:cs="Arial" w:ascii="Arial" w:hAnsi="Arial"/>
                <w:sz w:val="22"/>
                <w:szCs w:val="22"/>
                <w:lang w:val="en"/>
              </w:rPr>
              <w:t xml:space="preserve">See also Drayna, D., Manichaikul, A., deLange, M., Sneider, H., &amp; Spector, T. (2001). Genetic correlates of musical pitch recognition in humans. </w:t>
            </w:r>
            <w:r>
              <w:rPr>
                <w:rFonts w:cs="Arial" w:ascii="Arial" w:hAnsi="Arial"/>
                <w:i/>
                <w:iCs/>
                <w:sz w:val="22"/>
                <w:szCs w:val="22"/>
                <w:lang w:val="en"/>
              </w:rPr>
              <w:t>Science, 291,</w:t>
            </w:r>
            <w:r>
              <w:rPr>
                <w:rFonts w:cs="Arial" w:ascii="Arial" w:hAnsi="Arial"/>
                <w:sz w:val="22"/>
                <w:szCs w:val="22"/>
                <w:lang w:val="en"/>
              </w:rPr>
              <w:t xml:space="preserve"> 1969–1972. </w:t>
            </w:r>
          </w:p>
          <w:p>
            <w:pPr>
              <w:pStyle w:val="Normal"/>
              <w:autoSpaceDE w:val="false"/>
              <w:rPr>
                <w:rFonts w:ascii="Arial" w:hAnsi="Arial" w:cs="Arial"/>
                <w:sz w:val="22"/>
                <w:szCs w:val="22"/>
                <w:lang w:val="en"/>
              </w:rPr>
            </w:pPr>
            <w:r>
              <w:rPr>
                <w:rFonts w:cs="Arial" w:ascii="Arial" w:hAnsi="Arial"/>
                <w:sz w:val="22"/>
                <w:szCs w:val="22"/>
                <w:lang w:val="en"/>
              </w:rPr>
            </w:r>
          </w:p>
          <w:p>
            <w:pPr>
              <w:pStyle w:val="Normal"/>
              <w:spacing w:before="0" w:after="0"/>
              <w:contextualSpacing/>
              <w:rPr>
                <w:rFonts w:ascii="Arial" w:hAnsi="Arial" w:cs="Arial"/>
                <w:sz w:val="22"/>
                <w:szCs w:val="22"/>
                <w:highlight w:val="yellow"/>
              </w:rPr>
            </w:pPr>
            <w:r>
              <w:rPr>
                <w:rFonts w:cs="Arial" w:ascii="Arial" w:hAnsi="Arial"/>
                <w:sz w:val="22"/>
                <w:szCs w:val="22"/>
                <w:lang w:val="en"/>
              </w:rPr>
              <w:t>Reproduced by Dennis T. Drayna. National Institute on Deafness and Other Communicative Disorders. National Institutes of Health. Department of Health and Human Services.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respondent will need a copy of the compact disc with the Distorted Tunes Test or a computer </w:t>
            </w:r>
            <w:r>
              <w:rPr>
                <w:rFonts w:cs="Arial" w:ascii="Arial" w:hAnsi="Arial"/>
                <w:sz w:val="22"/>
                <w:szCs w:val="22"/>
                <w:lang w:val="en"/>
              </w:rPr>
              <w:t xml:space="preserve">with speakers, JavaScript®, and cookies enabled on their browser </w:t>
            </w:r>
            <w:r>
              <w:rPr>
                <w:rFonts w:cs="Arial" w:ascii="Arial" w:hAnsi="Arial"/>
                <w:sz w:val="22"/>
                <w:szCs w:val="22"/>
              </w:rPr>
              <w:t>to take the Distorted Tunes Test (</w:t>
            </w:r>
            <w:r>
              <w:rPr>
                <w:rFonts w:cs="Arial" w:ascii="Arial" w:hAnsi="Arial"/>
                <w:sz w:val="22"/>
                <w:szCs w:val="22"/>
                <w:lang w:val="en"/>
              </w:rPr>
              <w:t>http://www.nidcd.nih.gov/tunetest/DefaultPage.htm)</w:t>
            </w:r>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lang w:val="en"/>
              </w:rPr>
              <w:t>The respondent should take the Distorted Tunes Test (DTT) in a quiet room.</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Jones, J., Zalewski, C., Brewer C., Lucker, J., &amp; Drayna, D. (2009) Widespread auditory deficits in tune deafness. </w:t>
            </w:r>
            <w:r>
              <w:rPr>
                <w:rFonts w:cs="Arial" w:ascii="Arial" w:hAnsi="Arial"/>
                <w:i/>
                <w:iCs/>
                <w:sz w:val="22"/>
                <w:szCs w:val="22"/>
              </w:rPr>
              <w:t>Ear and Hearing, 30</w:t>
            </w:r>
            <w:r>
              <w:rPr>
                <w:rFonts w:cs="Arial" w:ascii="Arial" w:hAnsi="Arial"/>
                <w:sz w:val="22"/>
                <w:szCs w:val="22"/>
              </w:rPr>
              <w:t>, 63–72.</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Pitch Perception Deficit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Speech and Hearing </w:t>
    </w:r>
  </w:p>
  <w:p>
    <w:pPr>
      <w:pStyle w:val="Normal"/>
      <w:rPr>
        <w:rFonts w:ascii="Arial" w:hAnsi="Arial" w:cs="Arial"/>
        <w:b/>
        <w:b/>
        <w:sz w:val="20"/>
        <w:szCs w:val="20"/>
      </w:rPr>
    </w:pPr>
    <w:r>
      <w:rPr>
        <w:rFonts w:cs="Arial" w:ascii="Arial" w:hAnsi="Arial"/>
        <w:b/>
        <w:sz w:val="20"/>
        <w:szCs w:val="20"/>
      </w:rPr>
      <w:t>Release Date: August 18, 2010</w:t>
      <w:tab/>
      <w:tab/>
      <w:t xml:space="preserve">                                                                                              </w:t>
    </w:r>
  </w:p>
  <w:p>
    <w:pPr>
      <w:pStyle w:val="Normal"/>
      <w:rPr/>
    </w:pPr>
    <w:r>
      <w:rPr>
        <w:rFonts w:cs="Arial" w:ascii="Arial" w:hAnsi="Arial"/>
        <w:b/>
        <w:sz w:val="20"/>
        <w:szCs w:val="20"/>
      </w:rPr>
      <w:t>Pitch Perception Deficit</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2011-10-10T13:30:00Z</dcterms:modified>
  <cp:revision>10</cp:revision>
  <dc:subject/>
  <dc:title/>
</cp:coreProperties>
</file>