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9AAE" w14:textId="77777777" w:rsidR="003F496E" w:rsidRDefault="003F496E" w:rsidP="00C155D7">
      <w:pPr>
        <w:ind w:left="-720" w:right="-432"/>
        <w:contextualSpacing/>
        <w:rPr>
          <w:b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BA3E27" w:rsidRPr="00B12118" w14:paraId="216B918A" w14:textId="77777777" w:rsidTr="00157EFC">
        <w:trPr>
          <w:jc w:val="center"/>
        </w:trPr>
        <w:tc>
          <w:tcPr>
            <w:tcW w:w="9360" w:type="dxa"/>
            <w:gridSpan w:val="2"/>
          </w:tcPr>
          <w:p w14:paraId="267CEBB7" w14:textId="77777777" w:rsidR="00BA3E27" w:rsidRPr="00C155D7" w:rsidRDefault="0007791C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26E8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</w:tc>
      </w:tr>
      <w:tr w:rsidR="00BA3E27" w:rsidRPr="00B12118" w14:paraId="4A52D0AC" w14:textId="77777777" w:rsidTr="008F68E1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</w:tcPr>
          <w:p w14:paraId="36BB2E9B" w14:textId="77777777" w:rsidR="00BA3E27" w:rsidRPr="00793F0B" w:rsidRDefault="00F9334E" w:rsidP="008F68E1">
            <w:pPr>
              <w:contextualSpacing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</w:tcPr>
          <w:p w14:paraId="45F7B11F" w14:textId="77777777" w:rsidR="006C41DD" w:rsidRPr="00EA0040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>Speech and Hearing</w:t>
            </w:r>
          </w:p>
        </w:tc>
      </w:tr>
      <w:tr w:rsidR="00BA3E27" w:rsidRPr="00B12118" w14:paraId="33DCA47A" w14:textId="77777777" w:rsidTr="008F68E1">
        <w:trPr>
          <w:jc w:val="center"/>
        </w:trPr>
        <w:tc>
          <w:tcPr>
            <w:tcW w:w="2304" w:type="dxa"/>
            <w:tcBorders>
              <w:bottom w:val="single" w:sz="4" w:space="0" w:color="auto"/>
            </w:tcBorders>
          </w:tcPr>
          <w:p w14:paraId="661C2B3A" w14:textId="77777777" w:rsidR="00BA3E27" w:rsidRPr="00B12118" w:rsidRDefault="00F9334E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</w:tcPr>
          <w:p w14:paraId="61B33A9E" w14:textId="77777777" w:rsidR="00833727" w:rsidRPr="00EA0040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>Voice Impairments</w:t>
            </w:r>
          </w:p>
        </w:tc>
      </w:tr>
      <w:tr w:rsidR="00BA3E27" w:rsidRPr="00B12118" w14:paraId="4931E035" w14:textId="77777777" w:rsidTr="008F68E1">
        <w:trPr>
          <w:jc w:val="center"/>
        </w:trPr>
        <w:tc>
          <w:tcPr>
            <w:tcW w:w="2304" w:type="dxa"/>
          </w:tcPr>
          <w:p w14:paraId="329EB76F" w14:textId="77777777" w:rsidR="00A14486" w:rsidRPr="00B12118" w:rsidRDefault="00055008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</w:tcPr>
          <w:p w14:paraId="0DEFF25F" w14:textId="77777777" w:rsidR="006C41DD" w:rsidRPr="00CC47BE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>Maximum phonation time is a measurement of respiratory and sound control.</w:t>
            </w:r>
          </w:p>
        </w:tc>
      </w:tr>
    </w:tbl>
    <w:p w14:paraId="197325DA" w14:textId="77777777" w:rsidR="003F496E" w:rsidRPr="00CC47BE" w:rsidRDefault="003F496E" w:rsidP="00C155D7">
      <w:pPr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jc w:val="center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04"/>
        <w:gridCol w:w="7056"/>
      </w:tblGrid>
      <w:tr w:rsidR="003F496E" w:rsidRPr="00CC47BE" w14:paraId="4FB9265F" w14:textId="77777777" w:rsidTr="00157EFC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D271" w14:textId="77777777" w:rsidR="007F7390" w:rsidRPr="00C155D7" w:rsidRDefault="00376CF0" w:rsidP="00C155D7">
            <w:pPr>
              <w:ind w:left="120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CC47BE">
              <w:rPr>
                <w:rFonts w:ascii="Arial" w:hAnsi="Arial" w:cs="Arial"/>
                <w:b/>
                <w:sz w:val="22"/>
                <w:szCs w:val="22"/>
              </w:rPr>
              <w:t>Protocol</w:t>
            </w:r>
          </w:p>
        </w:tc>
      </w:tr>
      <w:tr w:rsidR="005A32A6" w:rsidRPr="00CC47BE" w14:paraId="054098AB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4F4" w14:textId="77777777" w:rsidR="005A32A6" w:rsidRPr="002D786B" w:rsidRDefault="000753CA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2D786B">
              <w:rPr>
                <w:rFonts w:ascii="Arial" w:hAnsi="Arial" w:cs="Arial"/>
                <w:b/>
                <w:sz w:val="22"/>
                <w:szCs w:val="22"/>
              </w:rPr>
              <w:t>Description</w:t>
            </w:r>
            <w:r w:rsidR="002E6D16">
              <w:rPr>
                <w:rFonts w:ascii="Arial" w:hAnsi="Arial" w:cs="Arial"/>
                <w:b/>
                <w:sz w:val="22"/>
                <w:szCs w:val="22"/>
              </w:rPr>
              <w:t xml:space="preserve"> of Protocol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2156" w14:textId="77777777" w:rsidR="001F69B9" w:rsidRPr="008B7F05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The Maximum Phonation Time test measures the time an individual can sustain a sung tone, after having filled the lungs maximally. The individual is asked to sustain a vowel sound (“ah”) produced on one deep breath while the administrator times the length. The best of three attempts at sustaining a vowel is used as the person’s Maximum Phonation Time.</w:t>
            </w:r>
          </w:p>
        </w:tc>
      </w:tr>
      <w:tr w:rsidR="00EA3017" w:rsidRPr="00CC47BE" w14:paraId="2C20CBEA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82FC" w14:textId="77777777" w:rsidR="00EA3017" w:rsidRPr="00CC47BE" w:rsidRDefault="00EA3017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text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AD20" w14:textId="77777777" w:rsidR="00105AA8" w:rsidRPr="000B3142" w:rsidRDefault="00105AA8" w:rsidP="00105A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How to Calculate Maximum Phonation Time (MPT)</w:t>
            </w:r>
          </w:p>
          <w:p w14:paraId="1E2C8B94" w14:textId="77777777" w:rsidR="00105AA8" w:rsidRPr="000B3142" w:rsidRDefault="00105AA8" w:rsidP="00105AA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Ask the client to take a deep breath and then to sustain the vowel sound “ah” (as in the words “art” and “part”) and for as long as possible at a comfortable pitch and loudness on one exhalation, without straining. Using a stopwatch, time (in seconds) how long the client can sustain the vowel. Record the time as the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“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duration of 1</w:t>
            </w:r>
            <w:r w:rsidRPr="000B314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st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ah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’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”.</w:t>
            </w:r>
          </w:p>
          <w:p w14:paraId="2DF37646" w14:textId="77777777" w:rsidR="00105AA8" w:rsidRPr="000B3142" w:rsidRDefault="00105AA8" w:rsidP="00105AA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Repeat step one and record the time as “duration of 2</w:t>
            </w:r>
            <w:r w:rsidRPr="000B314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nd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 ‘ah’”.</w:t>
            </w:r>
          </w:p>
          <w:p w14:paraId="700D162C" w14:textId="77777777" w:rsidR="00105AA8" w:rsidRPr="000B3142" w:rsidRDefault="00105AA8" w:rsidP="00105AA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Repeat step one and record the time as “duration of 3</w:t>
            </w:r>
            <w:r w:rsidRPr="000B3142">
              <w:rPr>
                <w:rFonts w:ascii="Arial" w:hAnsi="Arial" w:cs="Arial"/>
                <w:sz w:val="22"/>
                <w:szCs w:val="22"/>
                <w:vertAlign w:val="superscript"/>
                <w:lang w:val="en-GB"/>
              </w:rPr>
              <w:t>rd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 ‘ah’”.</w:t>
            </w:r>
          </w:p>
          <w:p w14:paraId="41187F69" w14:textId="77777777" w:rsidR="00105AA8" w:rsidRPr="000B3142" w:rsidRDefault="00105AA8" w:rsidP="00105AA8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The MPT is the longest duration “ah” of the three attempts.</w:t>
            </w:r>
          </w:p>
          <w:p w14:paraId="63DCA87F" w14:textId="77777777" w:rsidR="00105AA8" w:rsidRPr="000B3142" w:rsidRDefault="00105AA8" w:rsidP="00105A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33909AC" w14:textId="77777777" w:rsidR="00105AA8" w:rsidRPr="000B3142" w:rsidRDefault="00105AA8" w:rsidP="00105A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Interpreting MPT</w:t>
            </w:r>
          </w:p>
          <w:p w14:paraId="5E34D6C9" w14:textId="77777777" w:rsidR="00035143" w:rsidRPr="008B7F05" w:rsidRDefault="00105AA8" w:rsidP="00105AA8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Typically, with no laryngeal pathology, adult males can sustain vowel sounds for between 25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35 seconds and adult females between 15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25 seconds. Nevertheless, MPT can differ markedly among people who are considered to have normal functioning vocal folds. In cases of vocal dysfunction/laryngeal pathology, however, the MPT is considerably reduced. Arguably, therefore, MPT is of most use when glottic efficiency is poor (an MPT of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7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 xml:space="preserve"> seconds or less).</w:t>
            </w:r>
          </w:p>
        </w:tc>
      </w:tr>
      <w:tr w:rsidR="00127C66" w:rsidRPr="00CC47BE" w14:paraId="67C4B6E0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A342" w14:textId="77777777" w:rsidR="00127C66" w:rsidRPr="00CC47BE" w:rsidRDefault="00580FD1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C6E2" w14:textId="77777777" w:rsidR="006C41DD" w:rsidRPr="00223B1F" w:rsidRDefault="00105AA8" w:rsidP="008F68E1">
            <w:pPr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>Adults, ages 18 and older</w:t>
            </w:r>
          </w:p>
        </w:tc>
      </w:tr>
      <w:tr w:rsidR="00EA3017" w:rsidRPr="00CC47BE" w14:paraId="353425A5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E77" w14:textId="77777777" w:rsidR="00EA3017" w:rsidRPr="00CC47BE" w:rsidRDefault="00EA3017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0B99" w14:textId="77777777" w:rsidR="00105AA8" w:rsidRPr="000B3142" w:rsidRDefault="00105AA8" w:rsidP="00105AA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Speech Therapy Information and Resources, United Kingdom</w:t>
            </w:r>
          </w:p>
          <w:p w14:paraId="61BFD867" w14:textId="77777777" w:rsidR="00105AA8" w:rsidRPr="000B3142" w:rsidRDefault="00105AA8" w:rsidP="00105AA8">
            <w:pPr>
              <w:rPr>
                <w:rFonts w:ascii="Arial" w:hAnsi="Arial" w:cs="Arial"/>
                <w:color w:val="666666"/>
                <w:sz w:val="22"/>
                <w:szCs w:val="22"/>
                <w:lang w:val="en-GB"/>
              </w:rPr>
            </w:pPr>
          </w:p>
          <w:p w14:paraId="17DDDB56" w14:textId="77777777" w:rsidR="00882A14" w:rsidRPr="008B7F05" w:rsidRDefault="00105AA8" w:rsidP="00105AA8">
            <w:pPr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http://www.speech-ther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Pr="000B3142">
              <w:rPr>
                <w:rFonts w:ascii="Arial" w:hAnsi="Arial" w:cs="Arial"/>
                <w:sz w:val="22"/>
                <w:szCs w:val="22"/>
                <w:lang w:val="en-GB"/>
              </w:rPr>
              <w:t>py-information-and-resources.com/maximum-phonation-time.html</w:t>
            </w:r>
          </w:p>
        </w:tc>
      </w:tr>
      <w:tr w:rsidR="00EA3017" w:rsidRPr="00CC47BE" w14:paraId="510567FE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A5" w14:textId="77777777" w:rsidR="00EA3017" w:rsidRPr="00CC47BE" w:rsidRDefault="00EA3017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CC47BE">
              <w:rPr>
                <w:rFonts w:ascii="Arial" w:hAnsi="Arial" w:cs="Arial"/>
                <w:b/>
                <w:sz w:val="22"/>
                <w:szCs w:val="22"/>
              </w:rPr>
              <w:t>Language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Source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873" w14:textId="77777777" w:rsidR="00EA3017" w:rsidRPr="008B7F05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lastRenderedPageBreak/>
              <w:t>English</w:t>
            </w:r>
          </w:p>
        </w:tc>
      </w:tr>
      <w:tr w:rsidR="00166E2A" w:rsidRPr="00CC47BE" w14:paraId="7A13770E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A8C" w14:textId="77777777" w:rsidR="00166E2A" w:rsidRPr="00B03D26" w:rsidRDefault="00166E2A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BD70" w14:textId="77777777" w:rsidR="00166E2A" w:rsidRPr="00732DED" w:rsidRDefault="00105AA8" w:rsidP="008F68E1">
            <w:pPr>
              <w:contextualSpacing/>
              <w:rPr>
                <w:rStyle w:val="DefaultChar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 xml:space="preserve">The Maximum Phonation Time test can be administered by trained research assistants. </w:t>
            </w:r>
            <w:r w:rsidRPr="000B3142">
              <w:rPr>
                <w:rFonts w:ascii="Arial" w:hAnsi="Arial" w:cs="Arial"/>
                <w:sz w:val="22"/>
                <w:szCs w:val="22"/>
                <w:lang w:val="en"/>
              </w:rPr>
              <w:t xml:space="preserve">Examiners should have formal training in the ethical administration, scoring, and interpretation of clinical assessments. </w:t>
            </w:r>
            <w:r w:rsidRPr="000B3142">
              <w:rPr>
                <w:rFonts w:ascii="Arial" w:hAnsi="Arial" w:cs="Arial"/>
                <w:sz w:val="22"/>
                <w:szCs w:val="22"/>
              </w:rPr>
              <w:t>Additionally, investigators are encouraged to have quality control procedures in place to maintain consistency across examiners.</w:t>
            </w:r>
          </w:p>
        </w:tc>
      </w:tr>
      <w:tr w:rsidR="00166E2A" w:rsidRPr="00CC47BE" w14:paraId="5C0912EA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093" w14:textId="77777777" w:rsidR="00166E2A" w:rsidRPr="00C155D7" w:rsidRDefault="00166E2A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B03D26">
              <w:rPr>
                <w:rFonts w:ascii="Arial" w:hAnsi="Arial" w:cs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76C" w14:textId="77777777" w:rsidR="00035143" w:rsidRPr="00732DED" w:rsidRDefault="00105AA8" w:rsidP="008F68E1">
            <w:pPr>
              <w:contextualSpacing/>
              <w:rPr>
                <w:rStyle w:val="DefaultChar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>The examiner will need a stopwatch to measure the duration of the phonation.</w:t>
            </w:r>
          </w:p>
        </w:tc>
      </w:tr>
      <w:tr w:rsidR="00EA3017" w:rsidRPr="00CC47BE" w14:paraId="72EF0989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C30" w14:textId="77777777" w:rsidR="00EA3017" w:rsidRPr="00CC47BE" w:rsidRDefault="00EA3017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2DD4" w14:textId="77777777" w:rsidR="00736235" w:rsidRPr="008B7F05" w:rsidRDefault="00DD43B6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 Measurement</w:t>
            </w:r>
          </w:p>
        </w:tc>
      </w:tr>
      <w:tr w:rsidR="0051386F" w:rsidRPr="00CC47BE" w14:paraId="4C9F647E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FC9" w14:textId="77777777" w:rsidR="0051386F" w:rsidRDefault="0051386F" w:rsidP="008F68E1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General Reference</w:t>
            </w:r>
            <w:r w:rsidR="00C155D7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54F7" w14:textId="77777777" w:rsidR="005853DF" w:rsidRPr="00722701" w:rsidRDefault="00105AA8" w:rsidP="008F68E1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0B3142">
              <w:rPr>
                <w:rFonts w:ascii="Arial" w:hAnsi="Arial" w:cs="Arial"/>
                <w:sz w:val="22"/>
                <w:szCs w:val="22"/>
              </w:rPr>
              <w:t xml:space="preserve">Hirano, M., Koike, Y., </w:t>
            </w:r>
            <w:r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0B3142">
              <w:rPr>
                <w:rFonts w:ascii="Arial" w:hAnsi="Arial" w:cs="Arial"/>
                <w:sz w:val="22"/>
                <w:szCs w:val="22"/>
              </w:rPr>
              <w:t xml:space="preserve">von Leden, H. (1968). Maximum phonation time and air usage during phonation. </w:t>
            </w:r>
            <w:r w:rsidRPr="000B31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Folia </w:t>
            </w:r>
            <w:proofErr w:type="spellStart"/>
            <w:r w:rsidRPr="000B3142">
              <w:rPr>
                <w:rFonts w:ascii="Arial" w:hAnsi="Arial" w:cs="Arial"/>
                <w:i/>
                <w:iCs/>
                <w:sz w:val="22"/>
                <w:szCs w:val="22"/>
              </w:rPr>
              <w:t>Phoniatr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ica</w:t>
            </w:r>
            <w:proofErr w:type="spellEnd"/>
            <w:r w:rsidRPr="000B314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(Bas</w:t>
            </w:r>
            <w:r w:rsidRPr="00CC457B">
              <w:rPr>
                <w:rFonts w:ascii="Arial" w:hAnsi="Arial" w:cs="Arial"/>
                <w:i/>
                <w:iCs/>
                <w:sz w:val="22"/>
                <w:szCs w:val="22"/>
              </w:rPr>
              <w:t>el), 20,</w:t>
            </w:r>
            <w:r w:rsidRPr="000B3142">
              <w:rPr>
                <w:rFonts w:ascii="Arial" w:hAnsi="Arial" w:cs="Arial"/>
                <w:sz w:val="22"/>
                <w:szCs w:val="22"/>
              </w:rPr>
              <w:t xml:space="preserve"> 185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0B3142">
              <w:rPr>
                <w:rFonts w:ascii="Arial" w:hAnsi="Arial" w:cs="Arial"/>
                <w:sz w:val="22"/>
                <w:szCs w:val="22"/>
              </w:rPr>
              <w:t>201.</w:t>
            </w:r>
          </w:p>
        </w:tc>
      </w:tr>
      <w:tr w:rsidR="007F747A" w:rsidRPr="00CC47BE" w14:paraId="6C857440" w14:textId="77777777" w:rsidTr="008F68E1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0AAB" w14:textId="77777777" w:rsidR="007F747A" w:rsidRDefault="007F747A" w:rsidP="007F747A">
            <w:pPr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Process and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Review</w:t>
            </w:r>
            <w:proofErr w:type="gramEnd"/>
          </w:p>
        </w:tc>
        <w:tc>
          <w:tcPr>
            <w:tcW w:w="7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43F" w14:textId="77777777" w:rsidR="007F747A" w:rsidRPr="00D2488A" w:rsidRDefault="007F747A" w:rsidP="007F747A">
            <w:pPr>
              <w:rPr>
                <w:rFonts w:ascii="Arial" w:hAnsi="Arial" w:cs="Arial"/>
                <w:sz w:val="22"/>
                <w:szCs w:val="22"/>
              </w:rPr>
            </w:pPr>
            <w:r w:rsidRPr="00D2488A">
              <w:rPr>
                <w:rFonts w:ascii="Arial" w:hAnsi="Arial" w:cs="Arial"/>
                <w:sz w:val="22"/>
                <w:szCs w:val="22"/>
              </w:rPr>
              <w:t>The Expert Review Panel (ERP) reviewed the measures in the Speech and Hearing domain.</w:t>
            </w:r>
          </w:p>
          <w:p w14:paraId="1D7A6B5D" w14:textId="77777777" w:rsidR="007F747A" w:rsidRPr="00D2488A" w:rsidRDefault="007F747A" w:rsidP="007F74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758448" w14:textId="77777777" w:rsidR="007F747A" w:rsidRPr="00D2488A" w:rsidRDefault="007F747A" w:rsidP="007F747A">
            <w:pPr>
              <w:rPr>
                <w:rFonts w:ascii="Arial" w:hAnsi="Arial" w:cs="Arial"/>
                <w:sz w:val="22"/>
                <w:szCs w:val="22"/>
              </w:rPr>
            </w:pPr>
            <w:r w:rsidRPr="00D2488A">
              <w:rPr>
                <w:rFonts w:ascii="Arial" w:hAnsi="Arial" w:cs="Arial"/>
                <w:sz w:val="22"/>
                <w:szCs w:val="22"/>
              </w:rPr>
              <w:t>Guidance from ERP includes the following:</w:t>
            </w:r>
          </w:p>
          <w:p w14:paraId="4360B285" w14:textId="77777777" w:rsidR="007F747A" w:rsidRPr="00D2488A" w:rsidRDefault="007F747A" w:rsidP="007F747A">
            <w:pPr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2488A">
              <w:rPr>
                <w:rFonts w:ascii="Arial" w:hAnsi="Arial" w:cs="Arial"/>
                <w:sz w:val="22"/>
                <w:szCs w:val="22"/>
              </w:rPr>
              <w:t>No significant changes</w:t>
            </w:r>
          </w:p>
          <w:p w14:paraId="6FAD7599" w14:textId="77777777" w:rsidR="007F747A" w:rsidRPr="000B3142" w:rsidRDefault="007F747A" w:rsidP="007F747A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C9BD40" w14:textId="77777777" w:rsidR="003F496E" w:rsidRDefault="003F496E" w:rsidP="00C155D7">
      <w:pPr>
        <w:contextualSpacing/>
      </w:pPr>
    </w:p>
    <w:sectPr w:rsidR="003F496E" w:rsidSect="00C37848">
      <w:headerReference w:type="default" r:id="rId7"/>
      <w:footerReference w:type="default" r:id="rId8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0DD30" w14:textId="77777777" w:rsidR="0071503E" w:rsidRDefault="0071503E">
      <w:r>
        <w:separator/>
      </w:r>
    </w:p>
  </w:endnote>
  <w:endnote w:type="continuationSeparator" w:id="0">
    <w:p w14:paraId="042CC074" w14:textId="77777777" w:rsidR="0071503E" w:rsidRDefault="0071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590A" w14:textId="77777777" w:rsidR="00953E6F" w:rsidRDefault="00953E6F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</w:p>
  <w:p w14:paraId="6130BD88" w14:textId="77777777" w:rsidR="00953E6F" w:rsidRDefault="00105AA8" w:rsidP="006E61F9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Voice Impairments</w:t>
    </w:r>
  </w:p>
  <w:p w14:paraId="25E3EFA3" w14:textId="77777777" w:rsidR="00953E6F" w:rsidRPr="0036273F" w:rsidRDefault="00953E6F" w:rsidP="0036273F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2C32" w14:textId="77777777" w:rsidR="0071503E" w:rsidRDefault="0071503E">
      <w:r>
        <w:separator/>
      </w:r>
    </w:p>
  </w:footnote>
  <w:footnote w:type="continuationSeparator" w:id="0">
    <w:p w14:paraId="50528575" w14:textId="77777777" w:rsidR="0071503E" w:rsidRDefault="00715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6E09" w14:textId="77777777" w:rsidR="00953E6F" w:rsidRDefault="00953E6F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PhenX Toolkit Supplemental Information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14:paraId="52763FBC" w14:textId="77777777" w:rsidR="00105AA8" w:rsidRPr="00F632C4" w:rsidRDefault="00105AA8" w:rsidP="00105AA8">
    <w:pPr>
      <w:rPr>
        <w:rFonts w:ascii="Arial" w:hAnsi="Arial" w:cs="Arial"/>
        <w:b/>
        <w:sz w:val="20"/>
        <w:szCs w:val="20"/>
      </w:rPr>
    </w:pPr>
    <w:r w:rsidRPr="00F632C4">
      <w:rPr>
        <w:rFonts w:ascii="Arial" w:hAnsi="Arial" w:cs="Arial"/>
        <w:b/>
        <w:sz w:val="20"/>
        <w:szCs w:val="20"/>
      </w:rPr>
      <w:t xml:space="preserve">Domain: </w:t>
    </w:r>
    <w:r>
      <w:rPr>
        <w:rFonts w:ascii="Arial" w:hAnsi="Arial" w:cs="Arial"/>
        <w:b/>
        <w:sz w:val="20"/>
        <w:szCs w:val="20"/>
      </w:rPr>
      <w:t xml:space="preserve">Speech and Hearing </w:t>
    </w:r>
  </w:p>
  <w:p w14:paraId="1D7801DD" w14:textId="77777777" w:rsidR="00105AA8" w:rsidRDefault="00105AA8" w:rsidP="00105AA8">
    <w:pPr>
      <w:rPr>
        <w:rFonts w:ascii="Arial" w:hAnsi="Arial" w:cs="Arial"/>
        <w:b/>
        <w:sz w:val="20"/>
        <w:szCs w:val="20"/>
      </w:rPr>
    </w:pPr>
    <w:r w:rsidRPr="00F632C4">
      <w:rPr>
        <w:rFonts w:ascii="Arial" w:hAnsi="Arial" w:cs="Arial"/>
        <w:b/>
        <w:sz w:val="20"/>
        <w:szCs w:val="20"/>
      </w:rPr>
      <w:t xml:space="preserve">Release Date: </w:t>
    </w:r>
  </w:p>
  <w:p w14:paraId="1FEC4AB6" w14:textId="77777777" w:rsidR="00953E6F" w:rsidRPr="006E61F9" w:rsidRDefault="00105AA8" w:rsidP="006E61F9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Voice Impairments</w:t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  <w:r w:rsidR="00953E6F" w:rsidRPr="006E61F9">
      <w:rPr>
        <w:rFonts w:ascii="Arial" w:hAnsi="Arial" w:cs="Arial"/>
        <w:b/>
        <w:sz w:val="20"/>
        <w:szCs w:val="20"/>
      </w:rPr>
      <w:tab/>
    </w:r>
  </w:p>
  <w:p w14:paraId="46FAF046" w14:textId="77777777" w:rsidR="00953E6F" w:rsidRDefault="00953E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4C2"/>
    <w:multiLevelType w:val="hybridMultilevel"/>
    <w:tmpl w:val="55169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EE9"/>
    <w:multiLevelType w:val="hybridMultilevel"/>
    <w:tmpl w:val="DAC2DB1E"/>
    <w:lvl w:ilvl="0" w:tplc="9E0E2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457DCB"/>
    <w:multiLevelType w:val="hybridMultilevel"/>
    <w:tmpl w:val="832C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7D33"/>
    <w:multiLevelType w:val="hybridMultilevel"/>
    <w:tmpl w:val="91CA99F2"/>
    <w:lvl w:ilvl="0" w:tplc="7C7AB7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814071"/>
    <w:multiLevelType w:val="hybridMultilevel"/>
    <w:tmpl w:val="EBA23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1378A"/>
    <w:multiLevelType w:val="hybridMultilevel"/>
    <w:tmpl w:val="CF84BB74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7A1E3379"/>
    <w:multiLevelType w:val="hybridMultilevel"/>
    <w:tmpl w:val="C8F02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790B8F"/>
    <w:multiLevelType w:val="hybridMultilevel"/>
    <w:tmpl w:val="A4F4B130"/>
    <w:lvl w:ilvl="0" w:tplc="66320596">
      <w:start w:val="1"/>
      <w:numFmt w:val="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8325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756452">
    <w:abstractNumId w:val="7"/>
  </w:num>
  <w:num w:numId="3" w16cid:durableId="1383089897">
    <w:abstractNumId w:val="1"/>
  </w:num>
  <w:num w:numId="4" w16cid:durableId="615672045">
    <w:abstractNumId w:val="0"/>
  </w:num>
  <w:num w:numId="5" w16cid:durableId="231891378">
    <w:abstractNumId w:val="5"/>
  </w:num>
  <w:num w:numId="6" w16cid:durableId="673339464">
    <w:abstractNumId w:val="4"/>
  </w:num>
  <w:num w:numId="7" w16cid:durableId="117072977">
    <w:abstractNumId w:val="2"/>
  </w:num>
  <w:num w:numId="8" w16cid:durableId="972977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3"/>
    <w:rsid w:val="0000234E"/>
    <w:rsid w:val="0000371A"/>
    <w:rsid w:val="00012AE8"/>
    <w:rsid w:val="00022213"/>
    <w:rsid w:val="00022357"/>
    <w:rsid w:val="00027F50"/>
    <w:rsid w:val="00034A43"/>
    <w:rsid w:val="00035143"/>
    <w:rsid w:val="00041101"/>
    <w:rsid w:val="000449BC"/>
    <w:rsid w:val="000454A2"/>
    <w:rsid w:val="000521A6"/>
    <w:rsid w:val="00054254"/>
    <w:rsid w:val="00055008"/>
    <w:rsid w:val="00073724"/>
    <w:rsid w:val="000753CA"/>
    <w:rsid w:val="0007791C"/>
    <w:rsid w:val="00086B33"/>
    <w:rsid w:val="000908D3"/>
    <w:rsid w:val="000913FF"/>
    <w:rsid w:val="00091B07"/>
    <w:rsid w:val="000948ED"/>
    <w:rsid w:val="000A64F2"/>
    <w:rsid w:val="000C4564"/>
    <w:rsid w:val="000D0F67"/>
    <w:rsid w:val="000E32B2"/>
    <w:rsid w:val="000F6FE6"/>
    <w:rsid w:val="00105AA8"/>
    <w:rsid w:val="00117985"/>
    <w:rsid w:val="00120BDC"/>
    <w:rsid w:val="00127C66"/>
    <w:rsid w:val="001362C0"/>
    <w:rsid w:val="00145CDB"/>
    <w:rsid w:val="0015097C"/>
    <w:rsid w:val="00152E56"/>
    <w:rsid w:val="00157EFC"/>
    <w:rsid w:val="00163231"/>
    <w:rsid w:val="00166E2A"/>
    <w:rsid w:val="00172E1C"/>
    <w:rsid w:val="0017784A"/>
    <w:rsid w:val="00196D1F"/>
    <w:rsid w:val="001A1CDF"/>
    <w:rsid w:val="001A2D35"/>
    <w:rsid w:val="001A419B"/>
    <w:rsid w:val="001B09DA"/>
    <w:rsid w:val="001B0B9D"/>
    <w:rsid w:val="001B0CA5"/>
    <w:rsid w:val="001B73D0"/>
    <w:rsid w:val="001C22DF"/>
    <w:rsid w:val="001C5EAE"/>
    <w:rsid w:val="001C7AF5"/>
    <w:rsid w:val="001D2DF4"/>
    <w:rsid w:val="001D3952"/>
    <w:rsid w:val="001D6184"/>
    <w:rsid w:val="001E09FF"/>
    <w:rsid w:val="001E36C0"/>
    <w:rsid w:val="001F69B9"/>
    <w:rsid w:val="00202C57"/>
    <w:rsid w:val="00214DD1"/>
    <w:rsid w:val="00223B1F"/>
    <w:rsid w:val="00252180"/>
    <w:rsid w:val="00253013"/>
    <w:rsid w:val="00253655"/>
    <w:rsid w:val="00254644"/>
    <w:rsid w:val="002611D8"/>
    <w:rsid w:val="00262A7E"/>
    <w:rsid w:val="00267FEC"/>
    <w:rsid w:val="00273682"/>
    <w:rsid w:val="00275CD2"/>
    <w:rsid w:val="002806C3"/>
    <w:rsid w:val="00280A6F"/>
    <w:rsid w:val="00280FDC"/>
    <w:rsid w:val="00282E2F"/>
    <w:rsid w:val="00283D7C"/>
    <w:rsid w:val="0029042F"/>
    <w:rsid w:val="00292A73"/>
    <w:rsid w:val="002B2AC4"/>
    <w:rsid w:val="002B592B"/>
    <w:rsid w:val="002C076E"/>
    <w:rsid w:val="002C7EAF"/>
    <w:rsid w:val="002D786B"/>
    <w:rsid w:val="002E0B4A"/>
    <w:rsid w:val="002E6D16"/>
    <w:rsid w:val="0030486B"/>
    <w:rsid w:val="003113E2"/>
    <w:rsid w:val="0032473F"/>
    <w:rsid w:val="00332DD4"/>
    <w:rsid w:val="003332F5"/>
    <w:rsid w:val="00343BA0"/>
    <w:rsid w:val="0034758A"/>
    <w:rsid w:val="003527D9"/>
    <w:rsid w:val="00360B03"/>
    <w:rsid w:val="0036123A"/>
    <w:rsid w:val="0036273F"/>
    <w:rsid w:val="00365DAA"/>
    <w:rsid w:val="00366447"/>
    <w:rsid w:val="0037033A"/>
    <w:rsid w:val="00371848"/>
    <w:rsid w:val="00372919"/>
    <w:rsid w:val="00374F77"/>
    <w:rsid w:val="0037545E"/>
    <w:rsid w:val="00376052"/>
    <w:rsid w:val="00376CF0"/>
    <w:rsid w:val="00380121"/>
    <w:rsid w:val="00385778"/>
    <w:rsid w:val="003876F1"/>
    <w:rsid w:val="00390376"/>
    <w:rsid w:val="00391291"/>
    <w:rsid w:val="0039407C"/>
    <w:rsid w:val="00396CB6"/>
    <w:rsid w:val="003A193B"/>
    <w:rsid w:val="003A65BD"/>
    <w:rsid w:val="003C1872"/>
    <w:rsid w:val="003C71FE"/>
    <w:rsid w:val="003C7C18"/>
    <w:rsid w:val="003D42CE"/>
    <w:rsid w:val="003D7D49"/>
    <w:rsid w:val="003E28A8"/>
    <w:rsid w:val="003E39A5"/>
    <w:rsid w:val="003E3DEB"/>
    <w:rsid w:val="003E65E5"/>
    <w:rsid w:val="003F2C92"/>
    <w:rsid w:val="003F4091"/>
    <w:rsid w:val="003F42D5"/>
    <w:rsid w:val="003F4866"/>
    <w:rsid w:val="003F496E"/>
    <w:rsid w:val="004028E0"/>
    <w:rsid w:val="00402E79"/>
    <w:rsid w:val="00406CE7"/>
    <w:rsid w:val="0041178E"/>
    <w:rsid w:val="004252BF"/>
    <w:rsid w:val="004376E8"/>
    <w:rsid w:val="004448DC"/>
    <w:rsid w:val="00461798"/>
    <w:rsid w:val="0046535B"/>
    <w:rsid w:val="00471B3C"/>
    <w:rsid w:val="00471ED4"/>
    <w:rsid w:val="00473109"/>
    <w:rsid w:val="00483B1D"/>
    <w:rsid w:val="00490CE7"/>
    <w:rsid w:val="00494A0F"/>
    <w:rsid w:val="004970EE"/>
    <w:rsid w:val="004B2D7C"/>
    <w:rsid w:val="004B31B6"/>
    <w:rsid w:val="004B7246"/>
    <w:rsid w:val="004C1B25"/>
    <w:rsid w:val="004C4128"/>
    <w:rsid w:val="004C4759"/>
    <w:rsid w:val="004C498C"/>
    <w:rsid w:val="004C74EF"/>
    <w:rsid w:val="004D4226"/>
    <w:rsid w:val="004D424D"/>
    <w:rsid w:val="004D4B70"/>
    <w:rsid w:val="004D5B7A"/>
    <w:rsid w:val="004E15AC"/>
    <w:rsid w:val="004E31B3"/>
    <w:rsid w:val="004E50F3"/>
    <w:rsid w:val="004F375D"/>
    <w:rsid w:val="004F3897"/>
    <w:rsid w:val="005043E3"/>
    <w:rsid w:val="00504910"/>
    <w:rsid w:val="00505DA2"/>
    <w:rsid w:val="005127A0"/>
    <w:rsid w:val="0051386F"/>
    <w:rsid w:val="00516EDC"/>
    <w:rsid w:val="00525119"/>
    <w:rsid w:val="00526E17"/>
    <w:rsid w:val="005332E6"/>
    <w:rsid w:val="00535BF6"/>
    <w:rsid w:val="00540DA0"/>
    <w:rsid w:val="00546F71"/>
    <w:rsid w:val="0054715E"/>
    <w:rsid w:val="00551D0D"/>
    <w:rsid w:val="0055215F"/>
    <w:rsid w:val="0055372A"/>
    <w:rsid w:val="00553CB2"/>
    <w:rsid w:val="00563576"/>
    <w:rsid w:val="005646B4"/>
    <w:rsid w:val="0056792D"/>
    <w:rsid w:val="00570018"/>
    <w:rsid w:val="0057674A"/>
    <w:rsid w:val="00580FD1"/>
    <w:rsid w:val="005853DF"/>
    <w:rsid w:val="00591DB5"/>
    <w:rsid w:val="005930AD"/>
    <w:rsid w:val="00593614"/>
    <w:rsid w:val="005A2CB0"/>
    <w:rsid w:val="005A32A6"/>
    <w:rsid w:val="005A387F"/>
    <w:rsid w:val="005A47DD"/>
    <w:rsid w:val="005B7525"/>
    <w:rsid w:val="005C0225"/>
    <w:rsid w:val="005C33FC"/>
    <w:rsid w:val="005D42F5"/>
    <w:rsid w:val="005E3839"/>
    <w:rsid w:val="005F0891"/>
    <w:rsid w:val="005F6081"/>
    <w:rsid w:val="00612017"/>
    <w:rsid w:val="0061352F"/>
    <w:rsid w:val="006231FE"/>
    <w:rsid w:val="0063063B"/>
    <w:rsid w:val="00632CD9"/>
    <w:rsid w:val="00655353"/>
    <w:rsid w:val="00681CC3"/>
    <w:rsid w:val="00682081"/>
    <w:rsid w:val="00683C2B"/>
    <w:rsid w:val="006847BB"/>
    <w:rsid w:val="006902DF"/>
    <w:rsid w:val="006921AD"/>
    <w:rsid w:val="00696AC7"/>
    <w:rsid w:val="006A2407"/>
    <w:rsid w:val="006A3903"/>
    <w:rsid w:val="006A7C2D"/>
    <w:rsid w:val="006B0544"/>
    <w:rsid w:val="006B1B8C"/>
    <w:rsid w:val="006C41DD"/>
    <w:rsid w:val="006D058F"/>
    <w:rsid w:val="006D0622"/>
    <w:rsid w:val="006E1D3F"/>
    <w:rsid w:val="006E605E"/>
    <w:rsid w:val="006E61F9"/>
    <w:rsid w:val="006F2E33"/>
    <w:rsid w:val="006F4ED9"/>
    <w:rsid w:val="006F77AD"/>
    <w:rsid w:val="00702FB1"/>
    <w:rsid w:val="0070516E"/>
    <w:rsid w:val="0071503E"/>
    <w:rsid w:val="00716FF6"/>
    <w:rsid w:val="007234C6"/>
    <w:rsid w:val="00727338"/>
    <w:rsid w:val="0073089F"/>
    <w:rsid w:val="0073482F"/>
    <w:rsid w:val="00736235"/>
    <w:rsid w:val="00745268"/>
    <w:rsid w:val="007465A6"/>
    <w:rsid w:val="00752C0E"/>
    <w:rsid w:val="007532A7"/>
    <w:rsid w:val="00756B1C"/>
    <w:rsid w:val="007615F3"/>
    <w:rsid w:val="007626E8"/>
    <w:rsid w:val="00770D49"/>
    <w:rsid w:val="00783CC5"/>
    <w:rsid w:val="0078620D"/>
    <w:rsid w:val="00790231"/>
    <w:rsid w:val="00791701"/>
    <w:rsid w:val="00792950"/>
    <w:rsid w:val="00793F0B"/>
    <w:rsid w:val="0079426A"/>
    <w:rsid w:val="00797FE3"/>
    <w:rsid w:val="007A41FB"/>
    <w:rsid w:val="007B01FF"/>
    <w:rsid w:val="007B0A2A"/>
    <w:rsid w:val="007B2F3D"/>
    <w:rsid w:val="007B6CDB"/>
    <w:rsid w:val="007C044C"/>
    <w:rsid w:val="007D0454"/>
    <w:rsid w:val="007D3C68"/>
    <w:rsid w:val="007E34DC"/>
    <w:rsid w:val="007F156F"/>
    <w:rsid w:val="007F263E"/>
    <w:rsid w:val="007F3D7E"/>
    <w:rsid w:val="007F7390"/>
    <w:rsid w:val="007F747A"/>
    <w:rsid w:val="00801EC3"/>
    <w:rsid w:val="00803777"/>
    <w:rsid w:val="008069B2"/>
    <w:rsid w:val="00812E69"/>
    <w:rsid w:val="0081355F"/>
    <w:rsid w:val="00821DE7"/>
    <w:rsid w:val="00833727"/>
    <w:rsid w:val="008348A5"/>
    <w:rsid w:val="00835380"/>
    <w:rsid w:val="00843A7C"/>
    <w:rsid w:val="00846708"/>
    <w:rsid w:val="0085797D"/>
    <w:rsid w:val="00861B93"/>
    <w:rsid w:val="008656BD"/>
    <w:rsid w:val="008729AF"/>
    <w:rsid w:val="0087790C"/>
    <w:rsid w:val="00881323"/>
    <w:rsid w:val="00882A14"/>
    <w:rsid w:val="00884765"/>
    <w:rsid w:val="008B271F"/>
    <w:rsid w:val="008B4EA6"/>
    <w:rsid w:val="008B558B"/>
    <w:rsid w:val="008B7F05"/>
    <w:rsid w:val="008C5FC6"/>
    <w:rsid w:val="008F1359"/>
    <w:rsid w:val="008F2508"/>
    <w:rsid w:val="008F68E1"/>
    <w:rsid w:val="009159B1"/>
    <w:rsid w:val="00923397"/>
    <w:rsid w:val="0093276B"/>
    <w:rsid w:val="0093669A"/>
    <w:rsid w:val="00953E6F"/>
    <w:rsid w:val="00972155"/>
    <w:rsid w:val="009724D2"/>
    <w:rsid w:val="00976799"/>
    <w:rsid w:val="009803A2"/>
    <w:rsid w:val="009820AE"/>
    <w:rsid w:val="0098406B"/>
    <w:rsid w:val="009874F7"/>
    <w:rsid w:val="009A4377"/>
    <w:rsid w:val="009C21EF"/>
    <w:rsid w:val="009D0C95"/>
    <w:rsid w:val="009D6444"/>
    <w:rsid w:val="009E0457"/>
    <w:rsid w:val="009E31D9"/>
    <w:rsid w:val="009E55D3"/>
    <w:rsid w:val="009F02DD"/>
    <w:rsid w:val="009F4410"/>
    <w:rsid w:val="00A00242"/>
    <w:rsid w:val="00A060CC"/>
    <w:rsid w:val="00A122E5"/>
    <w:rsid w:val="00A14486"/>
    <w:rsid w:val="00A22664"/>
    <w:rsid w:val="00A2730E"/>
    <w:rsid w:val="00A443C9"/>
    <w:rsid w:val="00A47807"/>
    <w:rsid w:val="00A538BD"/>
    <w:rsid w:val="00A56B27"/>
    <w:rsid w:val="00A62B19"/>
    <w:rsid w:val="00A676CF"/>
    <w:rsid w:val="00A76AB9"/>
    <w:rsid w:val="00A80426"/>
    <w:rsid w:val="00A9362C"/>
    <w:rsid w:val="00A94001"/>
    <w:rsid w:val="00A97EAC"/>
    <w:rsid w:val="00AB15FA"/>
    <w:rsid w:val="00AB5DE3"/>
    <w:rsid w:val="00AC3AF0"/>
    <w:rsid w:val="00AC505B"/>
    <w:rsid w:val="00AC666E"/>
    <w:rsid w:val="00AE56EB"/>
    <w:rsid w:val="00B03D26"/>
    <w:rsid w:val="00B12118"/>
    <w:rsid w:val="00B133BB"/>
    <w:rsid w:val="00B14698"/>
    <w:rsid w:val="00B175FE"/>
    <w:rsid w:val="00B33BCC"/>
    <w:rsid w:val="00B464AC"/>
    <w:rsid w:val="00B55D3E"/>
    <w:rsid w:val="00B5742E"/>
    <w:rsid w:val="00B6076F"/>
    <w:rsid w:val="00B66779"/>
    <w:rsid w:val="00B7592A"/>
    <w:rsid w:val="00B75966"/>
    <w:rsid w:val="00B83777"/>
    <w:rsid w:val="00B84B0B"/>
    <w:rsid w:val="00B87AA2"/>
    <w:rsid w:val="00B94704"/>
    <w:rsid w:val="00BA085F"/>
    <w:rsid w:val="00BA11AC"/>
    <w:rsid w:val="00BA3E27"/>
    <w:rsid w:val="00BB563F"/>
    <w:rsid w:val="00BB7023"/>
    <w:rsid w:val="00BC6CD8"/>
    <w:rsid w:val="00BD0169"/>
    <w:rsid w:val="00BD49FE"/>
    <w:rsid w:val="00BD54D9"/>
    <w:rsid w:val="00BF0642"/>
    <w:rsid w:val="00C0327B"/>
    <w:rsid w:val="00C12996"/>
    <w:rsid w:val="00C155D7"/>
    <w:rsid w:val="00C20E03"/>
    <w:rsid w:val="00C21B78"/>
    <w:rsid w:val="00C24E3A"/>
    <w:rsid w:val="00C37351"/>
    <w:rsid w:val="00C37848"/>
    <w:rsid w:val="00C41D6A"/>
    <w:rsid w:val="00C45485"/>
    <w:rsid w:val="00C46D10"/>
    <w:rsid w:val="00C47C72"/>
    <w:rsid w:val="00C521A3"/>
    <w:rsid w:val="00C52980"/>
    <w:rsid w:val="00C53D46"/>
    <w:rsid w:val="00C64BE2"/>
    <w:rsid w:val="00C76583"/>
    <w:rsid w:val="00C861B8"/>
    <w:rsid w:val="00C86E48"/>
    <w:rsid w:val="00C92890"/>
    <w:rsid w:val="00C97D81"/>
    <w:rsid w:val="00CA7346"/>
    <w:rsid w:val="00CB345A"/>
    <w:rsid w:val="00CC0873"/>
    <w:rsid w:val="00CC47BE"/>
    <w:rsid w:val="00CC61AF"/>
    <w:rsid w:val="00CD77D5"/>
    <w:rsid w:val="00D06D76"/>
    <w:rsid w:val="00D11D9B"/>
    <w:rsid w:val="00D53721"/>
    <w:rsid w:val="00D654B5"/>
    <w:rsid w:val="00D71351"/>
    <w:rsid w:val="00D74497"/>
    <w:rsid w:val="00D92D7E"/>
    <w:rsid w:val="00D93F3D"/>
    <w:rsid w:val="00DA3C7C"/>
    <w:rsid w:val="00DB1449"/>
    <w:rsid w:val="00DB5258"/>
    <w:rsid w:val="00DD3B2F"/>
    <w:rsid w:val="00DD414D"/>
    <w:rsid w:val="00DD43B6"/>
    <w:rsid w:val="00DD510B"/>
    <w:rsid w:val="00DD67DF"/>
    <w:rsid w:val="00DE1DF8"/>
    <w:rsid w:val="00DE33F5"/>
    <w:rsid w:val="00DF66EE"/>
    <w:rsid w:val="00E12F02"/>
    <w:rsid w:val="00E131D0"/>
    <w:rsid w:val="00E30A4A"/>
    <w:rsid w:val="00E32F84"/>
    <w:rsid w:val="00E3418F"/>
    <w:rsid w:val="00E34639"/>
    <w:rsid w:val="00E36072"/>
    <w:rsid w:val="00E51FF0"/>
    <w:rsid w:val="00E5309A"/>
    <w:rsid w:val="00E54DCE"/>
    <w:rsid w:val="00E57C4A"/>
    <w:rsid w:val="00E60B68"/>
    <w:rsid w:val="00E63747"/>
    <w:rsid w:val="00E6696E"/>
    <w:rsid w:val="00E70281"/>
    <w:rsid w:val="00E82F41"/>
    <w:rsid w:val="00E85D39"/>
    <w:rsid w:val="00E87BBD"/>
    <w:rsid w:val="00E92B0A"/>
    <w:rsid w:val="00E96CFC"/>
    <w:rsid w:val="00EA0040"/>
    <w:rsid w:val="00EA0917"/>
    <w:rsid w:val="00EA3017"/>
    <w:rsid w:val="00EA7EBA"/>
    <w:rsid w:val="00EC1356"/>
    <w:rsid w:val="00EC55C3"/>
    <w:rsid w:val="00EC67EF"/>
    <w:rsid w:val="00EC7367"/>
    <w:rsid w:val="00EE05E4"/>
    <w:rsid w:val="00EE15A8"/>
    <w:rsid w:val="00EF3807"/>
    <w:rsid w:val="00F00502"/>
    <w:rsid w:val="00F026EF"/>
    <w:rsid w:val="00F05182"/>
    <w:rsid w:val="00F061B7"/>
    <w:rsid w:val="00F107F5"/>
    <w:rsid w:val="00F128E2"/>
    <w:rsid w:val="00F13820"/>
    <w:rsid w:val="00F17044"/>
    <w:rsid w:val="00F25559"/>
    <w:rsid w:val="00F27E7E"/>
    <w:rsid w:val="00F3503D"/>
    <w:rsid w:val="00F37390"/>
    <w:rsid w:val="00F44529"/>
    <w:rsid w:val="00F46A6C"/>
    <w:rsid w:val="00F6197D"/>
    <w:rsid w:val="00F61AEA"/>
    <w:rsid w:val="00F7031A"/>
    <w:rsid w:val="00F7512C"/>
    <w:rsid w:val="00F81C98"/>
    <w:rsid w:val="00F87BCC"/>
    <w:rsid w:val="00F87FDC"/>
    <w:rsid w:val="00F9334E"/>
    <w:rsid w:val="00FA1486"/>
    <w:rsid w:val="00FA1DAB"/>
    <w:rsid w:val="00FA1E1C"/>
    <w:rsid w:val="00FA6DBE"/>
    <w:rsid w:val="00FC0AEF"/>
    <w:rsid w:val="00FC4BDB"/>
    <w:rsid w:val="00FD24D9"/>
    <w:rsid w:val="00FD5A3E"/>
    <w:rsid w:val="00FE0092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16DF38"/>
  <w15:chartTrackingRefBased/>
  <w15:docId w15:val="{D980D554-8EBB-43F2-B97B-CDC20AA5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E2A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9042F"/>
    <w:pPr>
      <w:ind w:left="720"/>
      <w:contextualSpacing/>
    </w:pPr>
  </w:style>
  <w:style w:type="character" w:styleId="Strong">
    <w:name w:val="Strong"/>
    <w:uiPriority w:val="22"/>
    <w:qFormat/>
    <w:rsid w:val="00835380"/>
    <w:rPr>
      <w:b/>
      <w:bCs/>
    </w:rPr>
  </w:style>
  <w:style w:type="character" w:customStyle="1" w:styleId="HeaderChar">
    <w:name w:val="Header Char"/>
    <w:link w:val="Header"/>
    <w:rsid w:val="00B94704"/>
    <w:rPr>
      <w:sz w:val="24"/>
      <w:szCs w:val="24"/>
    </w:rPr>
  </w:style>
  <w:style w:type="paragraph" w:customStyle="1" w:styleId="Default">
    <w:name w:val="Default"/>
    <w:link w:val="DefaultChar"/>
    <w:rsid w:val="008B7F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223B1F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rsid w:val="004448DC"/>
  </w:style>
  <w:style w:type="paragraph" w:styleId="Revision">
    <w:name w:val="Revision"/>
    <w:hidden/>
    <w:uiPriority w:val="99"/>
    <w:semiHidden/>
    <w:rsid w:val="00035143"/>
    <w:rPr>
      <w:sz w:val="24"/>
      <w:szCs w:val="24"/>
    </w:rPr>
  </w:style>
  <w:style w:type="table" w:styleId="TableGrid">
    <w:name w:val="Table Grid"/>
    <w:basedOn w:val="TableNormal"/>
    <w:rsid w:val="00C15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8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0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2309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whuggins</dc:creator>
  <cp:keywords/>
  <dc:description/>
  <cp:lastModifiedBy>Williams, David</cp:lastModifiedBy>
  <cp:revision>2</cp:revision>
  <cp:lastPrinted>2009-03-24T19:13:00Z</cp:lastPrinted>
  <dcterms:created xsi:type="dcterms:W3CDTF">2026-03-30T15:49:00Z</dcterms:created>
  <dcterms:modified xsi:type="dcterms:W3CDTF">2026-03-30T15:49:00Z</dcterms:modified>
</cp:coreProperties>
</file>