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spacing w:before="120" w:after="120"/>
        <w:rPr>
          <w:rFonts w:ascii="Arial" w:hAnsi="Arial" w:cs="Arial"/>
          <w:b/>
          <w:b/>
          <w:bCs/>
          <w:sz w:val="22"/>
          <w:szCs w:val="22"/>
        </w:rPr>
      </w:pPr>
      <w:r>
        <w:rPr>
          <w:rFonts w:cs="Arial" w:ascii="Arial" w:hAnsi="Arial"/>
          <w:b/>
          <w:bCs/>
          <w:sz w:val="22"/>
          <w:szCs w:val="22"/>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466" w:hRule="atLeast"/>
        </w:trPr>
        <w:tc>
          <w:tcPr>
            <w:tcW w:w="10604"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left="120" w:hanging="0"/>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55"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Tobacco Regulatory Research: Environment</w:t>
            </w:r>
          </w:p>
        </w:tc>
      </w:tr>
      <w:tr>
        <w:trPr>
          <w:trHeight w:val="42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Youth Social Capital</w:t>
            </w:r>
          </w:p>
        </w:tc>
      </w:tr>
      <w:tr>
        <w:trPr>
          <w:trHeight w:val="33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sz w:val="22"/>
                <w:szCs w:val="22"/>
              </w:rPr>
            </w:pPr>
            <w:r>
              <w:rPr>
                <w:rFonts w:cs="Arial" w:ascii="Arial" w:hAnsi="Arial"/>
                <w:sz w:val="22"/>
                <w:szCs w:val="22"/>
              </w:rPr>
              <w:t>This multi-item instrument is used to gain an understanding of a youth’s social capital, which is defined as the resources generated by the participation in social networks as well as the norms of trust and reciprocity that emerge from these interactions.</w:t>
            </w:r>
          </w:p>
        </w:tc>
      </w:tr>
      <w:tr>
        <w:trPr>
          <w:trHeight w:val="57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428" w:type="dxa"/>
            <w:tcBorders>
              <w:top w:val="single" w:sz="4" w:space="0" w:color="000000"/>
              <w:left w:val="single" w:sz="4" w:space="0" w:color="000000"/>
              <w:bottom w:val="single" w:sz="4" w:space="0" w:color="000000"/>
              <w:right w:val="single" w:sz="4" w:space="0" w:color="000000"/>
            </w:tcBorders>
          </w:tcPr>
          <w:p>
            <w:pPr>
              <w:pStyle w:val="HTMLPreformatted"/>
              <w:rPr>
                <w:rFonts w:ascii="Arial" w:hAnsi="Arial" w:cs="Arial"/>
                <w:sz w:val="22"/>
                <w:szCs w:val="22"/>
              </w:rPr>
            </w:pPr>
            <w:r>
              <w:rPr>
                <w:rFonts w:cs="Arial" w:ascii="Arial" w:hAnsi="Arial"/>
                <w:sz w:val="22"/>
                <w:szCs w:val="22"/>
              </w:rPr>
              <w:t>The purpose of this measure is to assess the social capital of youth and includes questions about social networks, social cohesion, sense of belonging, trust, autonomy, and control.</w:t>
            </w:r>
          </w:p>
        </w:tc>
      </w:tr>
    </w:tbl>
    <w:p>
      <w:pPr>
        <w:pStyle w:val="Normal"/>
        <w:ind w:left="120" w:hanging="0"/>
        <w:rPr>
          <w:rFonts w:ascii="Arial" w:hAnsi="Arial" w:cs="Arial"/>
          <w:b/>
          <w:b/>
          <w:sz w:val="22"/>
          <w:szCs w:val="22"/>
        </w:rPr>
      </w:pPr>
      <w:r>
        <w:rPr>
          <w:rFonts w:cs="Arial" w:ascii="Arial" w:hAnsi="Arial"/>
          <w:b/>
          <w:sz w:val="22"/>
          <w:szCs w:val="22"/>
        </w:rPr>
      </w:r>
      <w:r>
        <w:br w:type="page"/>
      </w:r>
    </w:p>
    <w:p>
      <w:pPr>
        <w:pStyle w:val="Normal"/>
        <w:rPr>
          <w:rFonts w:ascii="Arial" w:hAnsi="Arial" w:cs="Arial"/>
          <w:b/>
          <w:b/>
          <w:sz w:val="22"/>
          <w:szCs w:val="22"/>
        </w:rPr>
      </w:pPr>
      <w:r>
        <w:rPr>
          <w:rFonts w:cs="Arial" w:ascii="Arial" w:hAnsi="Arial"/>
          <w:b/>
          <w:sz w:val="22"/>
          <w:szCs w:val="22"/>
        </w:rPr>
      </w:r>
    </w:p>
    <w:tbl>
      <w:tblPr>
        <w:tblW w:w="11270" w:type="dxa"/>
        <w:jc w:val="center"/>
        <w:tblInd w:w="0" w:type="dxa"/>
        <w:tblLayout w:type="fixed"/>
        <w:tblCellMar>
          <w:top w:w="0" w:type="dxa"/>
          <w:left w:w="108" w:type="dxa"/>
          <w:bottom w:w="0" w:type="dxa"/>
          <w:right w:w="108" w:type="dxa"/>
        </w:tblCellMar>
      </w:tblPr>
      <w:tblGrid>
        <w:gridCol w:w="1795"/>
        <w:gridCol w:w="9475"/>
      </w:tblGrid>
      <w:tr>
        <w:trPr>
          <w:trHeight w:val="420" w:hRule="atLeast"/>
        </w:trPr>
        <w:tc>
          <w:tcPr>
            <w:tcW w:w="11270" w:type="dxa"/>
            <w:gridSpan w:val="2"/>
            <w:tcBorders>
              <w:top w:val="single" w:sz="4" w:space="0" w:color="000000"/>
              <w:left w:val="single" w:sz="4" w:space="0" w:color="000000"/>
              <w:bottom w:val="single" w:sz="4" w:space="0" w:color="000000"/>
              <w:right w:val="single" w:sz="4" w:space="0" w:color="000000"/>
            </w:tcBorders>
          </w:tcPr>
          <w:p>
            <w:pPr>
              <w:pStyle w:val="Normal"/>
              <w:keepNext w:val="true"/>
              <w:ind w:left="120" w:hanging="0"/>
              <w:jc w:val="center"/>
              <w:rPr>
                <w:rFonts w:ascii="Arial" w:hAnsi="Arial" w:cs="Arial"/>
                <w:b/>
                <w:b/>
                <w:sz w:val="22"/>
                <w:szCs w:val="22"/>
              </w:rPr>
            </w:pPr>
            <w:r>
              <w:rPr>
                <w:rFonts w:cs="Arial" w:ascii="Arial" w:hAnsi="Arial"/>
                <w:b/>
                <w:sz w:val="22"/>
                <w:szCs w:val="22"/>
              </w:rPr>
              <w:t>About the Protocol</w:t>
            </w:r>
          </w:p>
          <w:p>
            <w:pPr>
              <w:pStyle w:val="Normal"/>
              <w:keepNext w:val="true"/>
              <w:ind w:left="120" w:hanging="0"/>
              <w:jc w:val="center"/>
              <w:rPr>
                <w:rFonts w:ascii="Arial" w:hAnsi="Arial" w:cs="Arial"/>
                <w:b/>
                <w:b/>
                <w:sz w:val="22"/>
                <w:szCs w:val="22"/>
              </w:rPr>
            </w:pPr>
            <w:r>
              <w:rPr>
                <w:rFonts w:cs="Arial" w:ascii="Arial" w:hAnsi="Arial"/>
                <w:b/>
                <w:sz w:val="22"/>
                <w:szCs w:val="22"/>
              </w:rPr>
            </w:r>
          </w:p>
        </w:tc>
      </w:tr>
      <w:tr>
        <w:trPr>
          <w:trHeight w:val="525"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Description of Protocol:</w:t>
              <w:br/>
              <w:br/>
            </w:r>
            <w:r>
              <w:rPr>
                <w:rFonts w:cs="Arial" w:ascii="Arial" w:hAnsi="Arial"/>
                <w:bCs/>
                <w:sz w:val="22"/>
                <w:szCs w:val="22"/>
              </w:rPr>
              <w:t>(included in Survey &amp; Supplemental Information)</w:t>
            </w:r>
          </w:p>
          <w:p>
            <w:pPr>
              <w:pStyle w:val="Normal"/>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This protocol uses 12 items from the Social Capital Questionnaire for Adolescent Students (SCQ-AS).The 12 items are grouped into four subscales: School Cohesion, School Friendships, Neighborhood Social Cohesion, and Trust (school and neighborhood).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Social Capital Questionnaire for Adolescent Students (SCQ-AS) was developed based on a review of relevant literature. Focus groups were also formed by adolescent students as well as health, education, and social professionals. The final assessment tool was administered to a convenience sample of 101 12-year-old adolescent students from two public schools (79 students) and one private school (22 students). The wording is simple enough for adolescents, and the scale assesses social capital in both the school and the neighborhood.</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For the purposes of scoring, the following scale should be used: Agree = 3, I do not know, have no opinion = 2, and Disagree = 1. Assign these numbers to each item, and then add the numbers within each subscale to obtain the subscale score. For example, if a student responds “Agree” to all four school cohesion items (items 1, 2, 3, and 4), the school cohesion score would be 3 + 3 + 3 + 3 = 12.</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reading level for the items in this protocol ranges up to 6th grade. Although the scale has been validated among 12-year-olds, the Working Group suggests that the items are appropriate for middle and high school students.</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Protocol Text:</w:t>
              <w:br/>
              <w:br/>
            </w:r>
            <w:r>
              <w:rPr>
                <w:rFonts w:cs="Arial" w:ascii="Arial" w:hAnsi="Arial"/>
                <w:bCs/>
                <w:sz w:val="22"/>
                <w:szCs w:val="22"/>
              </w:rPr>
              <w:t>(included in Survey &amp; Supplemental Information)</w:t>
            </w:r>
          </w:p>
          <w:p>
            <w:pPr>
              <w:pStyle w:val="Normal"/>
              <w:ind w:left="120" w:hanging="0"/>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2"/>
                <w:szCs w:val="22"/>
              </w:rPr>
            </w:pPr>
            <w:r>
              <w:rPr>
                <w:rFonts w:eastAsia="Calibri" w:cs="Arial" w:ascii="Arial" w:hAnsi="Arial"/>
                <w:sz w:val="22"/>
                <w:szCs w:val="22"/>
              </w:rPr>
              <w:t>School cohesion (score: 4 to 12)</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1. The students at my school stay together:</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2. I feel like I belong at this school, as if it were mine:</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3. I feel safe at this school:</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4. My parents get along with my teachers:</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School friendships (score: 3 to 9)</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5. The students at my school have fun together:</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6. I trust my friends at school:</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7. I can ask my friends at school for help:</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Neighborhood social cohesion (score: 2 to 4)</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8. I trust my neighbors:</w:t>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9. I can count on my neighbors for help:</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Trust: school/neighborhood (score: 3 to 9)</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10. The teachers at my school are sympathetic and give us support:</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11. My neighbors would try to take advantage of me:</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2"/>
                <w:szCs w:val="22"/>
              </w:rPr>
            </w:pPr>
            <w:r>
              <w:rPr>
                <w:rFonts w:eastAsia="Calibri" w:cs="Arial" w:ascii="Arial" w:hAnsi="Arial"/>
                <w:sz w:val="22"/>
                <w:szCs w:val="22"/>
              </w:rPr>
              <w:t xml:space="preserve">(  ) Disagree </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12. My classmates would try to take advantage of me:</w:t>
            </w:r>
          </w:p>
          <w:p>
            <w:pPr>
              <w:pStyle w:val="Normal"/>
              <w:autoSpaceDE w:val="false"/>
              <w:rPr>
                <w:rFonts w:ascii="Arial" w:hAnsi="Arial" w:eastAsia="Calibri" w:cs="Arial"/>
                <w:sz w:val="22"/>
                <w:szCs w:val="22"/>
              </w:rPr>
            </w:pPr>
            <w:r>
              <w:rPr>
                <w:rFonts w:eastAsia="Calibri" w:cs="Arial" w:ascii="Arial" w:hAnsi="Arial"/>
                <w:sz w:val="22"/>
                <w:szCs w:val="22"/>
              </w:rPr>
            </w:r>
          </w:p>
          <w:p>
            <w:pPr>
              <w:pStyle w:val="Normal"/>
              <w:autoSpaceDE w:val="false"/>
              <w:rPr>
                <w:rFonts w:ascii="Arial" w:hAnsi="Arial" w:eastAsia="Calibri" w:cs="Arial"/>
                <w:sz w:val="22"/>
                <w:szCs w:val="22"/>
              </w:rPr>
            </w:pPr>
            <w:r>
              <w:rPr>
                <w:rFonts w:eastAsia="Calibri" w:cs="Arial" w:ascii="Arial" w:hAnsi="Arial"/>
                <w:sz w:val="22"/>
                <w:szCs w:val="22"/>
              </w:rPr>
              <w:t xml:space="preserve">(  ) Agree </w:t>
            </w:r>
          </w:p>
          <w:p>
            <w:pPr>
              <w:pStyle w:val="Normal"/>
              <w:autoSpaceDE w:val="false"/>
              <w:rPr>
                <w:rFonts w:ascii="Arial" w:hAnsi="Arial" w:eastAsia="Calibri" w:cs="Arial"/>
                <w:sz w:val="22"/>
                <w:szCs w:val="22"/>
              </w:rPr>
            </w:pPr>
            <w:r>
              <w:rPr>
                <w:rFonts w:eastAsia="Calibri" w:cs="Arial" w:ascii="Arial" w:hAnsi="Arial"/>
                <w:sz w:val="22"/>
                <w:szCs w:val="22"/>
              </w:rPr>
              <w:t xml:space="preserve">(  ) I do not know, have no opinion </w:t>
            </w:r>
          </w:p>
          <w:p>
            <w:pPr>
              <w:pStyle w:val="Normal"/>
              <w:autoSpaceDE w:val="false"/>
              <w:rPr>
                <w:rFonts w:ascii="Arial" w:hAnsi="Arial" w:eastAsia="Calibri" w:cs="Arial"/>
                <w:sz w:val="20"/>
                <w:szCs w:val="20"/>
              </w:rPr>
            </w:pPr>
            <w:r>
              <w:rPr>
                <w:rFonts w:eastAsia="Calibri" w:cs="Arial" w:ascii="Arial" w:hAnsi="Arial"/>
                <w:sz w:val="22"/>
                <w:szCs w:val="22"/>
              </w:rPr>
              <w:t>(  ) Disagree</w:t>
            </w:r>
          </w:p>
        </w:tc>
      </w:tr>
      <w:tr>
        <w:trPr>
          <w:trHeight w:val="525"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Participant:</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Youth </w:t>
            </w:r>
          </w:p>
        </w:tc>
      </w:tr>
      <w:tr>
        <w:trPr>
          <w:trHeight w:val="980"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Source:</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Social Capital Questionnaire for Adolescent Students (SCQ-AS)</w:t>
            </w:r>
          </w:p>
        </w:tc>
      </w:tr>
      <w:tr>
        <w:trPr>
          <w:trHeight w:val="629"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English</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Personnel and Training Required:</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629"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Self-administered</w:t>
            </w:r>
          </w:p>
        </w:tc>
      </w:tr>
      <w:tr>
        <w:trPr>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Requirements:</w:t>
            </w:r>
          </w:p>
          <w:p>
            <w:pPr>
              <w:pStyle w:val="Normal"/>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Definitions: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Equipment</w:t>
            </w:r>
            <w:r>
              <w:rPr>
                <w:rFonts w:cs="Arial" w:ascii="Arial" w:hAnsi="Arial"/>
                <w:sz w:val="22"/>
                <w:szCs w:val="22"/>
              </w:rPr>
              <w:t xml:space="preserve">: this measure requires a specialized measurement device that may not be readily available in every setting where genome-wide association studies are being conducted. Examples of specialized equipment are dual-energy, X-ray absorptiometry (DEXA), echocardiography, and spirometry.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Training</w:t>
            </w:r>
            <w:r>
              <w:rPr>
                <w:rFonts w:cs="Arial" w:ascii="Arial" w:hAnsi="Arial"/>
                <w:sz w:val="22"/>
                <w:szCs w:val="22"/>
              </w:rPr>
              <w:t xml:space="preserve">: this measure requires staff training in the protocol methodology and/or in the conduct of the data analysis.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Cost Fee to obtain or use measure</w:t>
            </w:r>
            <w:r>
              <w:rPr>
                <w:rFonts w:cs="Arial" w:ascii="Arial" w:hAnsi="Arial"/>
                <w:sz w:val="22"/>
                <w:szCs w:val="22"/>
              </w:rPr>
              <w:t>: there is a cost or licensing fee that the investigator must pay to obtain and use this measurement protocol. The cost category would only indicate that the protocol/instrument is not freely available to the general public.      </w:t>
            </w:r>
          </w:p>
          <w:p>
            <w:pPr>
              <w:pStyle w:val="Normal"/>
              <w:rPr>
                <w:rFonts w:ascii="Arial" w:hAnsi="Arial" w:cs="Arial"/>
                <w:sz w:val="22"/>
                <w:szCs w:val="22"/>
              </w:rPr>
            </w:pPr>
            <w:r>
              <w:rPr>
                <w:rFonts w:cs="Arial" w:ascii="Arial" w:hAnsi="Arial"/>
                <w:sz w:val="22"/>
                <w:szCs w:val="22"/>
              </w:rPr>
              <w:t> </w:t>
            </w:r>
          </w:p>
          <w:p>
            <w:pPr>
              <w:pStyle w:val="Normal"/>
              <w:rPr/>
            </w:pPr>
            <w:r>
              <w:rPr>
                <w:rFonts w:cs="Arial" w:ascii="Arial" w:hAnsi="Arial"/>
                <w:sz w:val="22"/>
                <w:szCs w:val="22"/>
                <w:u w:val="single"/>
              </w:rPr>
              <w:t>Cost associated with data analysis</w:t>
            </w:r>
            <w:r>
              <w:rPr>
                <w:rFonts w:cs="Arial" w:ascii="Arial" w:hAnsi="Arial"/>
                <w:sz w:val="22"/>
                <w:szCs w:val="22"/>
              </w:rPr>
              <w:t xml:space="preserve">: this cost may include manuals, data storage, and proprietary algorithms.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Biospecimen</w:t>
            </w:r>
            <w:r>
              <w:rPr>
                <w:rFonts w:cs="Arial" w:ascii="Arial" w:hAnsi="Arial"/>
                <w:sz w:val="22"/>
                <w:szCs w:val="22"/>
              </w:rPr>
              <w:t>: this protocol requires that blood, urine, etc. be collected from the study participants.  </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Common Data Element (CDE):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 be completed by PhenX staff.</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General References: </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lang w:val="es-ES"/>
              </w:rPr>
              <w:t xml:space="preserve">Paiva, P. C. P., de Paiva, H. N., de Oliveira Filho P. M., Lamounier, J. A., Ferreira e Ferreira, E., Ferreira, R. C., . . . Zarzar, P. M. </w:t>
            </w:r>
            <w:r>
              <w:rPr>
                <w:rFonts w:cs="Arial" w:ascii="Arial" w:hAnsi="Arial"/>
                <w:sz w:val="22"/>
                <w:szCs w:val="22"/>
              </w:rPr>
              <w:t xml:space="preserve">(2014) Development and validation of a Social Capital Questionnaire for Adolescent Students (SCQ-AS). </w:t>
            </w:r>
            <w:r>
              <w:rPr>
                <w:rFonts w:cs="Arial" w:ascii="Arial" w:hAnsi="Arial"/>
                <w:i/>
                <w:sz w:val="22"/>
                <w:szCs w:val="22"/>
              </w:rPr>
              <w:t>PLoS ONE, 9</w:t>
            </w:r>
            <w:r>
              <w:rPr>
                <w:rFonts w:cs="Arial" w:ascii="Arial" w:hAnsi="Arial"/>
                <w:sz w:val="22"/>
                <w:szCs w:val="22"/>
              </w:rPr>
              <w:t>(8): e103785. doi:10.1371/journal.pone.0103785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57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keepNext w:val="true"/>
              <w:snapToGrid w:val="fals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keepNext w:val="true"/>
              <w:jc w:val="center"/>
              <w:rPr/>
            </w:pPr>
            <w:r>
              <w:rPr>
                <w:rFonts w:cs="Arial" w:ascii="Arial" w:hAnsi="Arial"/>
                <w:b/>
                <w:bCs/>
                <w:sz w:val="22"/>
                <w:szCs w:val="22"/>
              </w:rPr>
              <w:t>Additional Information about the Measure</w:t>
            </w:r>
          </w:p>
        </w:tc>
      </w:tr>
      <w:tr>
        <w:trPr>
          <w:trHeight w:val="57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b/>
                <w:b/>
                <w:sz w:val="22"/>
                <w:szCs w:val="22"/>
              </w:rPr>
            </w:pPr>
            <w:r>
              <w:rPr>
                <w:rFonts w:cs="Arial" w:ascii="Arial" w:hAnsi="Arial"/>
                <w:b/>
                <w:sz w:val="22"/>
                <w:szCs w:val="22"/>
              </w:rPr>
              <w:t>Essential Data:</w:t>
            </w:r>
          </w:p>
        </w:tc>
        <w:tc>
          <w:tcPr>
            <w:tcW w:w="8428"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sz w:val="22"/>
                <w:szCs w:val="22"/>
              </w:rPr>
            </w:pPr>
            <w:r>
              <w:rPr>
                <w:rFonts w:cs="Arial" w:ascii="Arial" w:hAnsi="Arial"/>
                <w:sz w:val="22"/>
                <w:szCs w:val="22"/>
              </w:rPr>
              <w:t>Age</w:t>
            </w:r>
          </w:p>
        </w:tc>
      </w:tr>
      <w:tr>
        <w:trPr>
          <w:trHeight w:val="541"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Neighborhood Safety, Neighborhood Collective Efficacy - Community Cohesion and Informal Social Control, School Social Environment, School Risk and Protective Factors</w:t>
            </w:r>
          </w:p>
        </w:tc>
      </w:tr>
      <w:tr>
        <w:trPr>
          <w:trHeight w:val="526"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Derived Variables: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63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 xml:space="preserve">Keywords/Related Concepts: </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social capital, school social cohesion, school friendships, neighborhood social cohesion, trust, youth, Social Capital Questionnaire for Adolescent Students, SCQ-AS</w:t>
            </w:r>
          </w:p>
        </w:tc>
      </w:tr>
    </w:tbl>
    <w:p>
      <w:pPr>
        <w:pStyle w:val="Normal"/>
        <w:rPr/>
      </w:pPr>
      <w:r>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Arial Black">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szCs w:val="22"/>
      </w:rPr>
    </w:pPr>
    <w:r>
      <w:rPr>
        <w:rFonts w:cs="Arial" w:ascii="Arial" w:hAnsi="Arial"/>
        <w:sz w:val="22"/>
        <w:szCs w:val="22"/>
      </w:rPr>
      <w:t>Youth Social Capital</w:t>
    </w:r>
  </w:p>
  <w:p>
    <w:pPr>
      <w:pStyle w:val="Header"/>
      <w:rPr>
        <w:rFonts w:ascii="Arial" w:hAnsi="Arial" w:cs="Arial"/>
        <w:sz w:val="22"/>
        <w:szCs w:val="22"/>
      </w:rPr>
    </w:pPr>
    <w:r>
      <w:rPr>
        <w:rFonts w:cs="Arial" w:ascii="Arial" w:hAnsi="Arial"/>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ind w:left="720" w:hanging="360"/>
      </w:pPr>
      <w:rPr/>
    </w:lvl>
    <w:lvl w:ilvl="1">
      <w:start w:val="1"/>
      <w:numFmt w:val="decimal"/>
      <w:lvlText w:val="%1.%2"/>
      <w:lvlJc w:val="left"/>
      <w:pPr>
        <w:tabs>
          <w:tab w:val="num" w:pos="1080"/>
        </w:tabs>
        <w:ind w:left="432" w:hanging="432"/>
      </w:pPr>
      <w:rPr>
        <w:smallCaps w:val="false"/>
        <w:caps w:val="false"/>
        <w:dstrike w:val="false"/>
        <w:strike w:val="false"/>
        <w:vertAlign w:val="baseline"/>
        <w:position w:val="0"/>
        <w:sz w:val="24"/>
        <w:spacing w:val="0"/>
        <w:i w:val="false"/>
        <w:u w:val="none"/>
        <w:b/>
        <w:kern w:val="0"/>
        <w:iCs w:val="false"/>
        <w:bCs w:val="false"/>
        <w:em w:val="none"/>
        <w:vanish w:val="false"/>
        <w:rFonts w:ascii="Arial" w:hAnsi="Arial" w:cs="Arial"/>
        <w:color w:val="000000"/>
      </w:rPr>
    </w:lvl>
    <w:lvl w:ilvl="2">
      <w:start w:val="1"/>
      <w:numFmt w:val="decimal"/>
      <w:lvlText w:val="%1.%2.%3"/>
      <w:lvlJc w:val="left"/>
      <w:pPr>
        <w:tabs>
          <w:tab w:val="num" w:pos="1440"/>
        </w:tabs>
        <w:ind w:left="504" w:hanging="504"/>
      </w:pPr>
      <w:rPr>
        <w:smallCaps w:val="false"/>
        <w:caps w:val="false"/>
        <w:dstrike w:val="false"/>
        <w:strike w:val="false"/>
        <w:vertAlign w:val="baseline"/>
        <w:position w:val="0"/>
        <w:sz w:val="24"/>
        <w:spacing w:val="0"/>
        <w:i w:val="false"/>
        <w:u w:val="none"/>
        <w:kern w:val="0"/>
        <w:iCs w:val="false"/>
        <w:bCs w:val="false"/>
        <w:em w:val="none"/>
        <w:vanish w:val="false"/>
        <w:rFonts w:cs="Times New Roman"/>
        <w:color w:val="000000"/>
      </w:rPr>
    </w:lvl>
    <w:lvl w:ilvl="3">
      <w:start w:val="1"/>
      <w:numFmt w:val="decimal"/>
      <w:lvlText w:val="%1.%2.%3.%4"/>
      <w:lvlJc w:val="left"/>
      <w:pPr>
        <w:tabs>
          <w:tab w:val="num" w:pos="1800"/>
        </w:tabs>
        <w:ind w:left="648" w:hanging="648"/>
      </w:pPr>
      <w:rPr/>
    </w:lvl>
    <w:lvl w:ilvl="4">
      <w:start w:val="1"/>
      <w:numFmt w:val="decimal"/>
      <w:lvlText w:val="%1.%2.%3.%4.%5."/>
      <w:lvlJc w:val="left"/>
      <w:pPr>
        <w:tabs>
          <w:tab w:val="num" w:pos="2520"/>
        </w:tabs>
        <w:ind w:left="1152" w:hanging="792"/>
      </w:pPr>
      <w:rPr/>
    </w:lvl>
    <w:lvl w:ilvl="5">
      <w:start w:val="1"/>
      <w:numFmt w:val="decimal"/>
      <w:lvlText w:val="%1.%2.%3.%4.%5.%6."/>
      <w:lvlJc w:val="left"/>
      <w:pPr>
        <w:tabs>
          <w:tab w:val="num" w:pos="3240"/>
        </w:tabs>
        <w:ind w:left="1656" w:hanging="936"/>
      </w:pPr>
      <w:rPr/>
    </w:lvl>
    <w:lvl w:ilvl="6">
      <w:start w:val="1"/>
      <w:numFmt w:val="decimal"/>
      <w:lvlText w:val="%1.%2.%3.%4.%5.%6.%7."/>
      <w:lvlJc w:val="left"/>
      <w:pPr>
        <w:tabs>
          <w:tab w:val="num" w:pos="4320"/>
        </w:tabs>
        <w:ind w:left="2160" w:hanging="1080"/>
      </w:pPr>
      <w:rPr/>
    </w:lvl>
    <w:lvl w:ilvl="7">
      <w:start w:val="1"/>
      <w:numFmt w:val="decimal"/>
      <w:lvlText w:val="%1.%2.%3.%4.%5.%6.%7.%8."/>
      <w:lvlJc w:val="left"/>
      <w:pPr>
        <w:tabs>
          <w:tab w:val="num" w:pos="5040"/>
        </w:tabs>
        <w:ind w:left="2664" w:hanging="1224"/>
      </w:pPr>
      <w:rPr/>
    </w:lvl>
    <w:lvl w:ilvl="8">
      <w:start w:val="1"/>
      <w:numFmt w:val="decimal"/>
      <w:lvlText w:val="%1.%2.%3.%4.%5.%6.%7.%8.%9."/>
      <w:lvlJc w:val="left"/>
      <w:pPr>
        <w:tabs>
          <w:tab w:val="num" w:pos="5760"/>
        </w:tabs>
        <w:ind w:left="32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2"/>
      </w:numPr>
      <w:spacing w:before="240" w:after="120"/>
      <w:ind w:left="360" w:hanging="0"/>
      <w:outlineLvl w:val="0"/>
    </w:pPr>
    <w:rPr>
      <w:rFonts w:ascii="Arial" w:hAnsi="Arial" w:cs="Arial"/>
      <w:b/>
      <w:bCs/>
      <w:kern w:val="2"/>
      <w:sz w:val="28"/>
      <w:szCs w:val="32"/>
      <w:lang w:eastAsia="zh-CN"/>
    </w:rPr>
  </w:style>
  <w:style w:type="paragraph" w:styleId="Heading2">
    <w:name w:val="Heading 2"/>
    <w:basedOn w:val="Heading1"/>
    <w:next w:val="Normal"/>
    <w:qFormat/>
    <w:pPr>
      <w:numPr>
        <w:ilvl w:val="0"/>
        <w:numId w:val="2"/>
      </w:numPr>
      <w:outlineLvl w:val="1"/>
    </w:pPr>
    <w:rPr>
      <w:kern w:val="2"/>
      <w:sz w:val="24"/>
      <w:szCs w:val="28"/>
    </w:rPr>
  </w:style>
  <w:style w:type="paragraph" w:styleId="Heading4">
    <w:name w:val="Heading 4"/>
    <w:basedOn w:val="Normal"/>
    <w:next w:val="Normal"/>
    <w:qFormat/>
    <w:pPr>
      <w:numPr>
        <w:ilvl w:val="0"/>
        <w:numId w:val="2"/>
      </w:numPr>
      <w:spacing w:before="120" w:after="60"/>
      <w:outlineLvl w:val="3"/>
    </w:pPr>
    <w:rPr>
      <w:rFonts w:ascii="Arial" w:hAnsi="Arial" w:cs="Arial"/>
      <w:b/>
      <w:i/>
      <w:sz w:val="22"/>
      <w:szCs w:val="20"/>
    </w:rPr>
  </w:style>
  <w:style w:type="character" w:styleId="WW8Num13z0">
    <w:name w:val="WW8Num13z0"/>
    <w:qFormat/>
    <w:rPr/>
  </w:style>
  <w:style w:type="character" w:styleId="WW8Num14z1">
    <w:name w:val="WW8Num14z1"/>
    <w:qFormat/>
    <w:rPr>
      <w:rFonts w:ascii="Arial" w:hAnsi="Arial" w:cs="Aria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3z1">
    <w:name w:val="WW8Num23z1"/>
    <w:qFormat/>
    <w:rPr>
      <w:rFonts w:ascii="Arial" w:hAnsi="Arial" w:cs="Arial"/>
      <w:b/>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23z2">
    <w:name w:val="WW8Num23z2"/>
    <w:qFormat/>
    <w:rPr>
      <w:rFonts w:cs="Times New Roman"/>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8z1">
    <w:name w:val="WW8Num28z1"/>
    <w:qFormat/>
    <w:rPr>
      <w:rFonts w:ascii="Arial" w:hAnsi="Arial" w:eastAsia="Calibri" w:cs="Aria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b/>
    </w:rPr>
  </w:style>
  <w:style w:type="character" w:styleId="DefaultParagraphFont">
    <w:name w:val="Default Paragraph Font"/>
    <w:qFormat/>
    <w:rPr/>
  </w:style>
  <w:style w:type="character" w:styleId="Heading1Char">
    <w:name w:val="Heading 1 Char"/>
    <w:qFormat/>
    <w:rPr>
      <w:rFonts w:ascii="Arial" w:hAnsi="Arial" w:eastAsia="Times New Roman" w:cs="Arial"/>
      <w:b/>
      <w:bCs/>
      <w:kern w:val="2"/>
      <w:sz w:val="28"/>
      <w:szCs w:val="32"/>
      <w:lang w:eastAsia="zh-CN"/>
    </w:rPr>
  </w:style>
  <w:style w:type="character" w:styleId="Heading2Char">
    <w:name w:val="Heading 2 Char"/>
    <w:qFormat/>
    <w:rPr>
      <w:rFonts w:ascii="Arial" w:hAnsi="Arial" w:eastAsia="Times New Roman" w:cs="Arial"/>
      <w:b/>
      <w:bCs/>
      <w:kern w:val="2"/>
      <w:sz w:val="24"/>
      <w:szCs w:val="28"/>
    </w:rPr>
  </w:style>
  <w:style w:type="character" w:styleId="Heading4Char">
    <w:name w:val="Heading 4 Char"/>
    <w:qFormat/>
    <w:rPr>
      <w:rFonts w:ascii="Arial" w:hAnsi="Arial" w:eastAsia="Times New Roman" w:cs="Times New Roman"/>
      <w:b/>
      <w:i/>
      <w:szCs w:val="20"/>
    </w:rPr>
  </w:style>
  <w:style w:type="character" w:styleId="InternetLink">
    <w:name w:val="Hyperlink"/>
    <w:rPr>
      <w:color w:val="0000FF"/>
      <w:u w:val="single"/>
    </w:rPr>
  </w:style>
  <w:style w:type="character" w:styleId="TitleChar">
    <w:name w:val="Title Char"/>
    <w:qFormat/>
    <w:rPr>
      <w:rFonts w:ascii="Arial" w:hAnsi="Arial" w:eastAsia="Times New Roman" w:cs="Times New Roman"/>
      <w:b/>
      <w:sz w:val="36"/>
      <w:szCs w:val="20"/>
    </w:rPr>
  </w:style>
  <w:style w:type="character" w:styleId="BodyTextChar">
    <w:name w:val="Body Text Char"/>
    <w:qFormat/>
    <w:rPr>
      <w:rFonts w:ascii="Arial" w:hAnsi="Arial" w:eastAsia="Times New Roman" w:cs="Times New Roman"/>
      <w:szCs w:val="20"/>
    </w:rPr>
  </w:style>
  <w:style w:type="character" w:styleId="StrongEmphasis">
    <w:name w:val="Strong Emphasis"/>
    <w:qFormat/>
    <w:rPr>
      <w:b/>
      <w:bCs/>
    </w:rPr>
  </w:style>
  <w:style w:type="character" w:styleId="Emphasis">
    <w:name w:val="Emphasis"/>
    <w:qFormat/>
    <w:rPr>
      <w:b/>
      <w:bCs/>
      <w:i/>
      <w:iCs/>
      <w:spacing w:val="10"/>
      <w:shd w:fill="auto" w:val="clear"/>
    </w:rPr>
  </w:style>
  <w:style w:type="character" w:styleId="BodyText2Char">
    <w:name w:val="Body Text 2 Char"/>
    <w:qFormat/>
    <w:rPr>
      <w:rFonts w:ascii="Arial" w:hAnsi="Arial" w:eastAsia="Times New Roman" w:cs="Arial"/>
      <w:b/>
      <w:bCs/>
      <w:sz w:val="20"/>
      <w:szCs w:val="24"/>
    </w:rPr>
  </w:style>
  <w:style w:type="character" w:styleId="BodyText3Char">
    <w:name w:val="Body Text 3 Char"/>
    <w:qFormat/>
    <w:rPr>
      <w:rFonts w:ascii="Arial" w:hAnsi="Arial" w:eastAsia="Times New Roman" w:cs="Arial"/>
      <w:sz w:val="20"/>
      <w:szCs w:val="24"/>
    </w:rPr>
  </w:style>
  <w:style w:type="character" w:styleId="HTMLPreformattedChar">
    <w:name w:val="HTML Preformatted Char"/>
    <w:qFormat/>
    <w:rPr>
      <w:rFonts w:ascii="Courier New" w:hAnsi="Courier New" w:eastAsia="Times New Roman" w:cs="Courier New"/>
      <w:sz w:val="20"/>
      <w:szCs w:val="20"/>
    </w:rPr>
  </w:style>
  <w:style w:type="character" w:styleId="BalloonTextChar">
    <w:name w:val="Balloon Text Char"/>
    <w:qFormat/>
    <w:rPr>
      <w:rFonts w:ascii="Tahoma" w:hAnsi="Tahoma" w:eastAsia="Times New Roman" w:cs="Tahoma"/>
      <w:sz w:val="16"/>
      <w:szCs w:val="16"/>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rPr>
  </w:style>
  <w:style w:type="character" w:styleId="CommentSubjectChar">
    <w:name w:val="Comment Subject Char"/>
    <w:qFormat/>
    <w:rPr>
      <w:rFonts w:ascii="Times New Roman" w:hAnsi="Times New Roman" w:eastAsia="Times New Roman" w:cs="Times New Roman"/>
      <w:b/>
      <w:bCs/>
      <w:sz w:val="20"/>
      <w:szCs w:val="20"/>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HTMLCite">
    <w:name w:val="HTML Cite"/>
    <w:qFormat/>
    <w:rPr>
      <w:i/>
      <w:iCs/>
    </w:rPr>
  </w:style>
  <w:style w:type="character" w:styleId="Citprintdate">
    <w:name w:val="cit-print-date"/>
    <w:basedOn w:val="DefaultParagraphFont"/>
    <w:qFormat/>
    <w:rPr/>
  </w:style>
  <w:style w:type="character" w:styleId="Citsep">
    <w:name w:val="cit-sep"/>
    <w:basedOn w:val="DefaultParagraphFont"/>
    <w:qFormat/>
    <w:rPr/>
  </w:style>
  <w:style w:type="character" w:styleId="Citvol">
    <w:name w:val="cit-vol"/>
    <w:basedOn w:val="DefaultParagraphFont"/>
    <w:qFormat/>
    <w:rPr/>
  </w:style>
  <w:style w:type="character" w:styleId="Citissue">
    <w:name w:val="cit-issue"/>
    <w:basedOn w:val="DefaultParagraphFont"/>
    <w:qFormat/>
    <w:rPr/>
  </w:style>
  <w:style w:type="character" w:styleId="Citfirstpage">
    <w:name w:val="cit-first-page"/>
    <w:basedOn w:val="DefaultParagraphFont"/>
    <w:qFormat/>
    <w:rPr/>
  </w:style>
  <w:style w:type="character" w:styleId="Citlastpage">
    <w:name w:val="cit-last-page"/>
    <w:basedOn w:val="DefaultParagraphFont"/>
    <w:qFormat/>
    <w:rPr/>
  </w:style>
  <w:style w:type="character" w:styleId="Citaheadofprintdate">
    <w:name w:val="cit-ahead-of-print-date"/>
    <w:basedOn w:val="DefaultParagraphFont"/>
    <w:qFormat/>
    <w:rPr/>
  </w:style>
  <w:style w:type="character" w:styleId="Citdoi">
    <w:name w:val="cit-doi"/>
    <w:basedOn w:val="DefaultParagraphFont"/>
    <w:qFormat/>
    <w:rPr/>
  </w:style>
  <w:style w:type="paragraph" w:styleId="Heading">
    <w:name w:val="Heading"/>
    <w:basedOn w:val="Normal"/>
    <w:next w:val="Normal"/>
    <w:qFormat/>
    <w:pPr>
      <w:spacing w:before="0" w:after="120"/>
      <w:jc w:val="center"/>
    </w:pPr>
    <w:rPr>
      <w:rFonts w:ascii="Arial" w:hAnsi="Arial" w:cs="Arial"/>
      <w:b/>
      <w:sz w:val="36"/>
      <w:szCs w:val="20"/>
    </w:rPr>
  </w:style>
  <w:style w:type="paragraph" w:styleId="TextBody">
    <w:name w:val="Body Text"/>
    <w:basedOn w:val="Normal"/>
    <w:pPr>
      <w:spacing w:before="0" w:after="120"/>
    </w:pPr>
    <w:rPr>
      <w:rFonts w:ascii="Arial" w:hAnsi="Arial" w:cs="Arial"/>
      <w:sz w:val="22"/>
      <w:szCs w:val="20"/>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odyText2">
    <w:name w:val="Body Text 2"/>
    <w:basedOn w:val="Normal"/>
    <w:qFormat/>
    <w:pPr/>
    <w:rPr>
      <w:rFonts w:ascii="Arial" w:hAnsi="Arial" w:cs="Arial"/>
      <w:b/>
      <w:bCs/>
      <w:sz w:val="20"/>
    </w:rPr>
  </w:style>
  <w:style w:type="paragraph" w:styleId="BodyText3">
    <w:name w:val="Body Text 3"/>
    <w:basedOn w:val="Normal"/>
    <w:qFormat/>
    <w:pPr/>
    <w:rPr>
      <w:rFonts w:ascii="Arial" w:hAnsi="Arial" w:cs="Arial"/>
      <w:sz w:val="20"/>
    </w:rPr>
  </w:style>
  <w:style w:type="paragraph" w:styleId="HTMLPreformatted">
    <w:name w:val="HTML Preformatted"/>
    <w:basedOn w:val="Normal"/>
    <w:qFormat/>
    <w:pPr/>
    <w:rPr>
      <w:rFonts w:ascii="Courier New" w:hAnsi="Courier New" w:cs="Courier New"/>
      <w:sz w:val="20"/>
      <w:szCs w:val="20"/>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Default">
    <w:name w:val="Default"/>
    <w:qFormat/>
    <w:pPr>
      <w:widowControl/>
      <w:autoSpaceDE w:val="false"/>
      <w:bidi w:val="0"/>
    </w:pPr>
    <w:rPr>
      <w:rFonts w:ascii="Arial Black" w:hAnsi="Arial Black" w:eastAsia="Calibri" w:cs="Arial Black"/>
      <w:color w:val="000000"/>
      <w:sz w:val="24"/>
      <w:szCs w:val="24"/>
      <w:lang w:val="en-US"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2015-08-07T16:01:00Z</dcterms:created>
  <dc:creator>dcbrown</dc:creator>
  <dc:description/>
  <dc:language>en-US</dc:language>
  <cp:lastModifiedBy>Gaddis, Nathan</cp:lastModifiedBy>
  <dcterms:modified xsi:type="dcterms:W3CDTF">2015-08-07T16:01:00Z</dcterms:modified>
  <cp:revision>2</cp:revision>
  <dc:subject/>
  <dc:title/>
</cp:coreProperties>
</file>